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DD05C" w14:textId="77777777" w:rsidR="00622D58" w:rsidRPr="001705FD" w:rsidRDefault="00622D58" w:rsidP="00622D58">
      <w:pPr>
        <w:spacing w:after="0" w:line="240" w:lineRule="auto"/>
        <w:ind w:left="720"/>
        <w:rPr>
          <w:rFonts w:ascii="Calibri" w:eastAsia="Times New Roman" w:hAnsi="Calibri" w:cs="Calibri"/>
          <w:b/>
          <w:bCs/>
          <w:lang w:val="en-NZ" w:eastAsia="en-NZ"/>
        </w:rPr>
      </w:pPr>
      <w:r w:rsidRPr="001705FD">
        <w:rPr>
          <w:rFonts w:eastAsia="Times New Roman"/>
          <w:b/>
          <w:bCs/>
          <w:i/>
          <w:iCs/>
          <w:lang w:val="en-NZ" w:eastAsia="en-NZ"/>
        </w:rPr>
        <w:t xml:space="preserve">Instructions for implementing the </w:t>
      </w:r>
      <w:r w:rsidRPr="001705FD">
        <w:rPr>
          <w:rFonts w:ascii="Calibri" w:eastAsia="Times New Roman" w:hAnsi="Calibri" w:cs="Calibri"/>
          <w:b/>
          <w:bCs/>
          <w:i/>
          <w:iCs/>
          <w:lang w:val="en-NZ" w:eastAsia="en-NZ"/>
        </w:rPr>
        <w:t>You Said We Did initiative for Student Course Surveys</w:t>
      </w:r>
    </w:p>
    <w:p w14:paraId="017F44A6" w14:textId="77777777" w:rsidR="00622D58" w:rsidRPr="001705FD" w:rsidRDefault="00622D58" w:rsidP="00622D58">
      <w:pPr>
        <w:shd w:val="clear" w:color="auto" w:fill="FFFFFF" w:themeFill="background1"/>
        <w:ind w:left="720"/>
        <w:rPr>
          <w:rFonts w:ascii="Calibri" w:eastAsia="Times New Roman" w:hAnsi="Calibri" w:cs="Calibri"/>
          <w:color w:val="070F25"/>
          <w:lang w:val="en-NZ" w:eastAsia="en-NZ"/>
        </w:rPr>
      </w:pPr>
      <w:r w:rsidRPr="001705FD">
        <w:rPr>
          <w:rFonts w:ascii="Calibri" w:eastAsia="Times New Roman" w:hAnsi="Calibri" w:cs="Calibri"/>
          <w:color w:val="070F25"/>
          <w:lang w:val="en-NZ" w:eastAsia="en-NZ"/>
        </w:rPr>
        <w:t xml:space="preserve">A key benefit of the Institutional Course Surveys is that they allow us student feedback which allows us to consistently measure course performance across schools and programmes from the student perspective. This means we can identify strengths, opportunities for improvement and trends over time. </w:t>
      </w:r>
    </w:p>
    <w:p w14:paraId="0A794503" w14:textId="77777777" w:rsidR="00622D58" w:rsidRPr="001705FD" w:rsidRDefault="00622D58" w:rsidP="00622D58">
      <w:pPr>
        <w:shd w:val="clear" w:color="auto" w:fill="FFFFFF" w:themeFill="background1"/>
        <w:ind w:left="720"/>
        <w:rPr>
          <w:rFonts w:ascii="Calibri" w:eastAsia="Times New Roman" w:hAnsi="Calibri" w:cs="Calibri"/>
          <w:color w:val="070F25"/>
          <w:lang w:val="en-NZ" w:eastAsia="en-NZ"/>
        </w:rPr>
      </w:pPr>
      <w:r w:rsidRPr="001705FD">
        <w:rPr>
          <w:rFonts w:ascii="Calibri" w:eastAsia="Times New Roman" w:hAnsi="Calibri" w:cs="Calibri"/>
          <w:color w:val="070F25"/>
          <w:lang w:val="en-NZ" w:eastAsia="en-NZ"/>
        </w:rPr>
        <w:t xml:space="preserve">Students are more likely to give feedback if they see that it makes a difference. One of the </w:t>
      </w:r>
      <w:proofErr w:type="gramStart"/>
      <w:r w:rsidRPr="001705FD">
        <w:rPr>
          <w:rFonts w:ascii="Calibri" w:eastAsia="Times New Roman" w:hAnsi="Calibri" w:cs="Calibri"/>
          <w:color w:val="070F25"/>
          <w:lang w:val="en-NZ" w:eastAsia="en-NZ"/>
        </w:rPr>
        <w:t>key ways</w:t>
      </w:r>
      <w:proofErr w:type="gramEnd"/>
      <w:r w:rsidRPr="001705FD">
        <w:rPr>
          <w:rFonts w:ascii="Calibri" w:eastAsia="Times New Roman" w:hAnsi="Calibri" w:cs="Calibri"/>
          <w:color w:val="070F25"/>
          <w:lang w:val="en-NZ" w:eastAsia="en-NZ"/>
        </w:rPr>
        <w:t xml:space="preserve"> we can demonstrate this is by telling them what we are doing in response to their feedback.</w:t>
      </w:r>
    </w:p>
    <w:p w14:paraId="69593A1D" w14:textId="77777777" w:rsidR="00622D58" w:rsidRPr="001705FD" w:rsidRDefault="00622D58" w:rsidP="00622D58">
      <w:pPr>
        <w:shd w:val="clear" w:color="auto" w:fill="FFFFFF"/>
        <w:ind w:left="720"/>
        <w:rPr>
          <w:rFonts w:ascii="Calibri" w:eastAsia="Times New Roman" w:hAnsi="Calibri" w:cs="Calibri"/>
          <w:color w:val="070F25"/>
          <w:lang w:val="en-NZ" w:eastAsia="en-NZ"/>
        </w:rPr>
      </w:pPr>
    </w:p>
    <w:p w14:paraId="1F174E74" w14:textId="77777777" w:rsidR="00622D58" w:rsidRPr="001705FD" w:rsidRDefault="00622D58" w:rsidP="00622D58">
      <w:pPr>
        <w:shd w:val="clear" w:color="auto" w:fill="FFFFFF" w:themeFill="background1"/>
        <w:ind w:left="720"/>
        <w:rPr>
          <w:rFonts w:ascii="Calibri" w:eastAsia="Times New Roman" w:hAnsi="Calibri" w:cs="Calibri"/>
          <w:color w:val="070F25"/>
          <w:sz w:val="20"/>
          <w:szCs w:val="20"/>
          <w:lang w:val="en-NZ" w:eastAsia="en-NZ"/>
        </w:rPr>
      </w:pPr>
      <w:r w:rsidRPr="001705FD">
        <w:rPr>
          <w:rFonts w:ascii="Calibri" w:eastAsia="Times New Roman" w:hAnsi="Calibri" w:cs="Calibri"/>
          <w:color w:val="070F25"/>
          <w:lang w:val="en-NZ" w:eastAsia="en-NZ"/>
        </w:rPr>
        <w:t>To this end, Te Komiti Mātauranga | Academic Committee requires all staff to analyse and use feedback from their course survey report to develop and implement actions, and to communicate the actions to students (either to the current cohort or the next cohort)</w:t>
      </w:r>
      <w:r w:rsidRPr="001705FD">
        <w:rPr>
          <w:rFonts w:ascii="Calibri" w:eastAsia="Times New Roman" w:hAnsi="Calibri" w:cs="Calibri"/>
          <w:b/>
          <w:bCs/>
          <w:color w:val="070F25"/>
          <w:lang w:val="en-NZ" w:eastAsia="en-NZ"/>
        </w:rPr>
        <w:t>.</w:t>
      </w:r>
    </w:p>
    <w:p w14:paraId="5C29871D" w14:textId="77777777" w:rsidR="00622D58" w:rsidRPr="001705FD" w:rsidRDefault="00622D58" w:rsidP="00622D58">
      <w:pPr>
        <w:shd w:val="clear" w:color="auto" w:fill="FFFFFF"/>
        <w:ind w:left="720"/>
        <w:rPr>
          <w:rFonts w:ascii="Calibri" w:eastAsia="Times New Roman" w:hAnsi="Calibri" w:cs="Calibri"/>
          <w:color w:val="070F25"/>
          <w:sz w:val="21"/>
          <w:szCs w:val="21"/>
          <w:lang w:val="en-NZ" w:eastAsia="en-NZ"/>
        </w:rPr>
      </w:pPr>
    </w:p>
    <w:p w14:paraId="40314E9C" w14:textId="77777777" w:rsidR="00622D58" w:rsidRPr="001705FD" w:rsidRDefault="00622D58" w:rsidP="00622D58">
      <w:pPr>
        <w:ind w:left="720"/>
        <w:rPr>
          <w:rFonts w:ascii="Calibri" w:hAnsi="Calibri" w:cs="Calibri"/>
          <w:b/>
          <w:bCs/>
          <w:sz w:val="21"/>
          <w:szCs w:val="21"/>
          <w:lang w:val="en-NZ" w:eastAsia="en-NZ"/>
        </w:rPr>
      </w:pPr>
      <w:r w:rsidRPr="001705FD">
        <w:rPr>
          <w:rFonts w:ascii="Calibri" w:hAnsi="Calibri" w:cs="Calibri"/>
          <w:b/>
          <w:bCs/>
          <w:lang w:val="en-NZ" w:eastAsia="en-NZ"/>
        </w:rPr>
        <w:t>What you need to do:</w:t>
      </w:r>
    </w:p>
    <w:p w14:paraId="3EA17FCD" w14:textId="77777777" w:rsidR="00622D58" w:rsidRPr="001705FD" w:rsidRDefault="00622D58" w:rsidP="00622D58">
      <w:pPr>
        <w:pStyle w:val="ListParagraph"/>
        <w:numPr>
          <w:ilvl w:val="0"/>
          <w:numId w:val="1"/>
        </w:numPr>
        <w:ind w:left="1440"/>
        <w:rPr>
          <w:rFonts w:ascii="Calibri" w:hAnsi="Calibri" w:cs="Calibri"/>
          <w:lang w:val="en-NZ" w:eastAsia="en-NZ"/>
        </w:rPr>
      </w:pPr>
      <w:r w:rsidRPr="001705FD">
        <w:rPr>
          <w:rFonts w:ascii="Calibri" w:hAnsi="Calibri" w:cs="Calibri"/>
          <w:b/>
          <w:bCs/>
          <w:lang w:val="en-NZ" w:eastAsia="en-NZ"/>
        </w:rPr>
        <w:t>Consider what students are saying</w:t>
      </w:r>
      <w:r w:rsidRPr="001705FD">
        <w:rPr>
          <w:rFonts w:ascii="Calibri" w:hAnsi="Calibri" w:cs="Calibri"/>
          <w:lang w:val="en-NZ" w:eastAsia="en-NZ"/>
        </w:rPr>
        <w:t xml:space="preserve"> about the course and its delivery in the student course surveys. </w:t>
      </w:r>
    </w:p>
    <w:p w14:paraId="54B0C01A" w14:textId="77777777" w:rsidR="00622D58" w:rsidRPr="001705FD" w:rsidRDefault="00622D58" w:rsidP="00622D58">
      <w:pPr>
        <w:pStyle w:val="ListParagraph"/>
        <w:numPr>
          <w:ilvl w:val="1"/>
          <w:numId w:val="1"/>
        </w:numPr>
        <w:ind w:left="2160"/>
        <w:rPr>
          <w:rFonts w:ascii="Calibri" w:hAnsi="Calibri" w:cs="Calibri"/>
          <w:sz w:val="18"/>
          <w:szCs w:val="18"/>
          <w:lang w:val="en-NZ" w:eastAsia="en-NZ"/>
        </w:rPr>
      </w:pPr>
      <w:r w:rsidRPr="001705FD">
        <w:rPr>
          <w:rFonts w:ascii="Calibri" w:hAnsi="Calibri" w:cs="Calibri"/>
          <w:lang w:val="en-NZ" w:eastAsia="en-NZ"/>
        </w:rPr>
        <w:t xml:space="preserve">What do they think is going well? </w:t>
      </w:r>
    </w:p>
    <w:p w14:paraId="1BC67D1D" w14:textId="77777777" w:rsidR="00622D58" w:rsidRPr="001705FD" w:rsidRDefault="00622D58" w:rsidP="00622D58">
      <w:pPr>
        <w:pStyle w:val="ListParagraph"/>
        <w:numPr>
          <w:ilvl w:val="1"/>
          <w:numId w:val="1"/>
        </w:numPr>
        <w:ind w:left="2160"/>
        <w:rPr>
          <w:rFonts w:ascii="Calibri" w:hAnsi="Calibri" w:cs="Calibri"/>
          <w:lang w:val="en-NZ" w:eastAsia="en-NZ"/>
        </w:rPr>
      </w:pPr>
      <w:r w:rsidRPr="001705FD">
        <w:rPr>
          <w:rFonts w:ascii="Calibri" w:hAnsi="Calibri" w:cs="Calibri"/>
          <w:lang w:val="en-NZ" w:eastAsia="en-NZ"/>
        </w:rPr>
        <w:t xml:space="preserve">What do they think is not going so well? </w:t>
      </w:r>
    </w:p>
    <w:p w14:paraId="28BA88F2" w14:textId="77777777" w:rsidR="00622D58" w:rsidRPr="001705FD" w:rsidRDefault="00622D58" w:rsidP="00622D58">
      <w:pPr>
        <w:pStyle w:val="ListParagraph"/>
        <w:numPr>
          <w:ilvl w:val="0"/>
          <w:numId w:val="1"/>
        </w:numPr>
        <w:ind w:left="1440"/>
        <w:rPr>
          <w:rFonts w:ascii="Calibri" w:hAnsi="Calibri" w:cs="Calibri"/>
          <w:lang w:val="en-NZ" w:eastAsia="en-NZ"/>
        </w:rPr>
      </w:pPr>
      <w:r w:rsidRPr="001705FD">
        <w:rPr>
          <w:rFonts w:ascii="Calibri" w:hAnsi="Calibri" w:cs="Calibri"/>
          <w:b/>
          <w:bCs/>
          <w:lang w:val="en-NZ" w:eastAsia="en-NZ"/>
        </w:rPr>
        <w:t>Develop a Response (Action Plan)</w:t>
      </w:r>
      <w:r w:rsidRPr="001705FD">
        <w:rPr>
          <w:rFonts w:ascii="Calibri" w:hAnsi="Calibri" w:cs="Calibri"/>
          <w:lang w:val="en-NZ" w:eastAsia="en-NZ"/>
        </w:rPr>
        <w:t xml:space="preserve"> that addresses up to three key themes</w:t>
      </w:r>
    </w:p>
    <w:p w14:paraId="1724635D" w14:textId="77777777" w:rsidR="00622D58" w:rsidRPr="001705FD" w:rsidRDefault="00622D58" w:rsidP="00622D58">
      <w:pPr>
        <w:pStyle w:val="ListParagraph"/>
        <w:ind w:left="1440"/>
        <w:rPr>
          <w:rFonts w:ascii="Calibri" w:hAnsi="Calibri" w:cs="Calibri"/>
          <w:lang w:val="en-NZ" w:eastAsia="en-NZ"/>
        </w:rPr>
      </w:pPr>
      <w:r w:rsidRPr="001705FD">
        <w:rPr>
          <w:rFonts w:ascii="Calibri" w:hAnsi="Calibri" w:cs="Calibri"/>
          <w:lang w:val="en-NZ" w:eastAsia="en-NZ"/>
        </w:rPr>
        <w:t xml:space="preserve">(Record these </w:t>
      </w:r>
      <w:r>
        <w:rPr>
          <w:rFonts w:ascii="Calibri" w:hAnsi="Calibri" w:cs="Calibri"/>
          <w:lang w:val="en-NZ" w:eastAsia="en-NZ"/>
        </w:rPr>
        <w:t>on</w:t>
      </w:r>
      <w:r w:rsidRPr="001705FD">
        <w:rPr>
          <w:rFonts w:ascii="Calibri" w:hAnsi="Calibri" w:cs="Calibri"/>
          <w:lang w:val="en-NZ" w:eastAsia="en-NZ"/>
        </w:rPr>
        <w:t xml:space="preserve"> the </w:t>
      </w:r>
      <w:r w:rsidRPr="001705FD">
        <w:rPr>
          <w:i/>
          <w:iCs/>
          <w:lang w:val="en-NZ"/>
        </w:rPr>
        <w:t>Student Course Survey – Themes and Response</w:t>
      </w:r>
      <w:r w:rsidRPr="001705FD">
        <w:rPr>
          <w:lang w:val="en-NZ"/>
        </w:rPr>
        <w:t xml:space="preserve"> template</w:t>
      </w:r>
      <w:r>
        <w:rPr>
          <w:lang w:val="en-NZ"/>
        </w:rPr>
        <w:t xml:space="preserve"> available on </w:t>
      </w:r>
      <w:hyperlink r:id="rId6" w:history="1">
        <w:r w:rsidRPr="004C7540">
          <w:rPr>
            <w:rStyle w:val="Hyperlink"/>
            <w:lang w:val="en-NZ"/>
          </w:rPr>
          <w:t>Te Aka | The Nest</w:t>
        </w:r>
      </w:hyperlink>
      <w:r w:rsidRPr="001705FD">
        <w:rPr>
          <w:rFonts w:ascii="Calibri" w:hAnsi="Calibri" w:cs="Calibri"/>
          <w:lang w:val="en-NZ" w:eastAsia="en-NZ"/>
        </w:rPr>
        <w:t>)</w:t>
      </w:r>
    </w:p>
    <w:p w14:paraId="6A04AA25" w14:textId="77777777" w:rsidR="00622D58" w:rsidRPr="001705FD" w:rsidRDefault="00622D58" w:rsidP="00622D58">
      <w:pPr>
        <w:pStyle w:val="ListParagraph"/>
        <w:numPr>
          <w:ilvl w:val="0"/>
          <w:numId w:val="1"/>
        </w:numPr>
        <w:ind w:left="1440"/>
        <w:rPr>
          <w:rFonts w:ascii="Calibri" w:hAnsi="Calibri" w:cs="Calibri"/>
          <w:lang w:val="en-NZ" w:eastAsia="en-NZ"/>
        </w:rPr>
      </w:pPr>
      <w:r w:rsidRPr="001705FD">
        <w:rPr>
          <w:rFonts w:ascii="Calibri" w:hAnsi="Calibri" w:cs="Calibri"/>
          <w:b/>
          <w:bCs/>
          <w:lang w:val="en-NZ" w:eastAsia="en-NZ"/>
        </w:rPr>
        <w:t xml:space="preserve">Upload </w:t>
      </w:r>
      <w:r w:rsidRPr="001705FD">
        <w:rPr>
          <w:rFonts w:ascii="Calibri" w:hAnsi="Calibri" w:cs="Calibri"/>
          <w:lang w:val="en-NZ" w:eastAsia="en-NZ"/>
        </w:rPr>
        <w:t>the</w:t>
      </w:r>
      <w:r w:rsidRPr="001705FD">
        <w:rPr>
          <w:rFonts w:ascii="Calibri" w:hAnsi="Calibri" w:cs="Calibri"/>
          <w:b/>
          <w:bCs/>
          <w:lang w:val="en-NZ" w:eastAsia="en-NZ"/>
        </w:rPr>
        <w:t xml:space="preserve"> </w:t>
      </w:r>
      <w:r w:rsidRPr="001705FD">
        <w:rPr>
          <w:rFonts w:ascii="Calibri" w:hAnsi="Calibri" w:cs="Calibri"/>
          <w:lang w:val="en-NZ" w:eastAsia="en-NZ"/>
        </w:rPr>
        <w:t xml:space="preserve">completed </w:t>
      </w:r>
      <w:r w:rsidRPr="001705FD">
        <w:rPr>
          <w:rFonts w:ascii="Calibri" w:hAnsi="Calibri" w:cs="Calibri"/>
          <w:i/>
          <w:iCs/>
          <w:lang w:val="en-NZ" w:eastAsia="en-NZ"/>
        </w:rPr>
        <w:t xml:space="preserve">Student Course Survey – Themes and Response template </w:t>
      </w:r>
      <w:r w:rsidRPr="001705FD">
        <w:rPr>
          <w:rFonts w:ascii="Calibri" w:hAnsi="Calibri" w:cs="Calibri"/>
          <w:lang w:val="en-NZ" w:eastAsia="en-NZ"/>
        </w:rPr>
        <w:t xml:space="preserve">to the </w:t>
      </w:r>
      <w:r w:rsidRPr="001705FD">
        <w:rPr>
          <w:rFonts w:ascii="Calibri" w:hAnsi="Calibri" w:cs="Calibri"/>
          <w:i/>
          <w:iCs/>
          <w:lang w:val="en-NZ" w:eastAsia="en-NZ"/>
        </w:rPr>
        <w:t>Feedback</w:t>
      </w:r>
      <w:r w:rsidRPr="001705FD">
        <w:rPr>
          <w:rFonts w:ascii="Calibri" w:hAnsi="Calibri" w:cs="Calibri"/>
          <w:lang w:val="en-NZ" w:eastAsia="en-NZ"/>
        </w:rPr>
        <w:t xml:space="preserve"> section in your Moodle course.</w:t>
      </w:r>
    </w:p>
    <w:p w14:paraId="50003298" w14:textId="77777777" w:rsidR="00622D58" w:rsidRPr="001705FD" w:rsidRDefault="00622D58" w:rsidP="00622D58">
      <w:pPr>
        <w:pStyle w:val="ListParagraph"/>
        <w:ind w:left="1440"/>
        <w:rPr>
          <w:rFonts w:ascii="Calibri" w:hAnsi="Calibri" w:cs="Calibri"/>
          <w:lang w:val="en-NZ" w:eastAsia="en-NZ"/>
        </w:rPr>
      </w:pPr>
      <w:r w:rsidRPr="001705FD">
        <w:rPr>
          <w:rFonts w:ascii="Calibri" w:hAnsi="Calibri" w:cs="Calibri"/>
          <w:lang w:val="en-NZ" w:eastAsia="en-NZ"/>
        </w:rPr>
        <w:t xml:space="preserve">Ensure you save the template using the file naming protocol (see below). </w:t>
      </w:r>
    </w:p>
    <w:p w14:paraId="32A1D34D" w14:textId="77777777" w:rsidR="00622D58" w:rsidRPr="001705FD" w:rsidRDefault="00622D58" w:rsidP="00622D58">
      <w:pPr>
        <w:pStyle w:val="ListParagraph"/>
        <w:numPr>
          <w:ilvl w:val="0"/>
          <w:numId w:val="1"/>
        </w:numPr>
        <w:ind w:left="1440"/>
        <w:rPr>
          <w:lang w:val="en-NZ" w:eastAsia="en-NZ"/>
        </w:rPr>
      </w:pPr>
      <w:r w:rsidRPr="001705FD">
        <w:rPr>
          <w:b/>
          <w:bCs/>
          <w:lang w:val="en-NZ" w:eastAsia="en-NZ"/>
        </w:rPr>
        <w:t>Share</w:t>
      </w:r>
      <w:r w:rsidRPr="001705FD">
        <w:rPr>
          <w:lang w:val="en-NZ" w:eastAsia="en-NZ"/>
        </w:rPr>
        <w:t xml:space="preserve"> the </w:t>
      </w:r>
      <w:r>
        <w:rPr>
          <w:lang w:val="en-NZ" w:eastAsia="en-NZ"/>
        </w:rPr>
        <w:t>T</w:t>
      </w:r>
      <w:r w:rsidRPr="001705FD">
        <w:rPr>
          <w:lang w:val="en-NZ" w:eastAsia="en-NZ"/>
        </w:rPr>
        <w:t xml:space="preserve">hemes and </w:t>
      </w:r>
      <w:r>
        <w:rPr>
          <w:lang w:val="en-NZ" w:eastAsia="en-NZ"/>
        </w:rPr>
        <w:t xml:space="preserve">Response (from previous semester) </w:t>
      </w:r>
      <w:r w:rsidRPr="001705FD">
        <w:rPr>
          <w:lang w:val="en-NZ" w:eastAsia="en-NZ"/>
        </w:rPr>
        <w:t>with students in class</w:t>
      </w:r>
    </w:p>
    <w:p w14:paraId="053401E6" w14:textId="77777777" w:rsidR="00622D58" w:rsidRPr="001705FD" w:rsidRDefault="00622D58" w:rsidP="00622D58">
      <w:pPr>
        <w:pStyle w:val="ListParagraph"/>
        <w:numPr>
          <w:ilvl w:val="0"/>
          <w:numId w:val="1"/>
        </w:numPr>
        <w:ind w:left="1440"/>
        <w:rPr>
          <w:rFonts w:ascii="Calibri" w:hAnsi="Calibri" w:cs="Calibri"/>
          <w:lang w:val="en-NZ" w:eastAsia="en-NZ"/>
        </w:rPr>
      </w:pPr>
      <w:r w:rsidRPr="001705FD">
        <w:rPr>
          <w:rFonts w:ascii="Calibri" w:hAnsi="Calibri" w:cs="Calibri"/>
          <w:b/>
          <w:bCs/>
          <w:lang w:val="en-NZ" w:eastAsia="en-NZ"/>
        </w:rPr>
        <w:t>Review the actions</w:t>
      </w:r>
      <w:r>
        <w:rPr>
          <w:rFonts w:ascii="Calibri" w:hAnsi="Calibri" w:cs="Calibri"/>
          <w:lang w:val="en-NZ" w:eastAsia="en-NZ"/>
        </w:rPr>
        <w:t xml:space="preserve">, including their effectiveness via the next student course </w:t>
      </w:r>
      <w:r w:rsidRPr="001705FD">
        <w:rPr>
          <w:rFonts w:ascii="Calibri" w:hAnsi="Calibri" w:cs="Calibri"/>
          <w:lang w:val="en-NZ" w:eastAsia="en-NZ"/>
        </w:rPr>
        <w:t xml:space="preserve">survey / feedback. </w:t>
      </w:r>
    </w:p>
    <w:p w14:paraId="37398EA0" w14:textId="77777777" w:rsidR="00622D58" w:rsidRPr="001705FD" w:rsidRDefault="00622D58" w:rsidP="00622D58">
      <w:pPr>
        <w:pStyle w:val="ListParagraph"/>
        <w:numPr>
          <w:ilvl w:val="0"/>
          <w:numId w:val="1"/>
        </w:numPr>
        <w:ind w:left="1440"/>
        <w:rPr>
          <w:rFonts w:ascii="Calibri" w:hAnsi="Calibri" w:cs="Calibri"/>
          <w:lang w:val="en-NZ" w:eastAsia="en-NZ"/>
        </w:rPr>
      </w:pPr>
      <w:r w:rsidRPr="001705FD">
        <w:rPr>
          <w:rFonts w:ascii="Calibri" w:hAnsi="Calibri" w:cs="Calibri"/>
          <w:b/>
          <w:bCs/>
          <w:lang w:val="en-NZ" w:eastAsia="en-NZ"/>
        </w:rPr>
        <w:t>Reflect</w:t>
      </w:r>
      <w:r w:rsidRPr="001705FD">
        <w:rPr>
          <w:rFonts w:ascii="Calibri" w:hAnsi="Calibri" w:cs="Calibri"/>
          <w:lang w:val="en-NZ" w:eastAsia="en-NZ"/>
        </w:rPr>
        <w:t xml:space="preserve"> on the success of the </w:t>
      </w:r>
      <w:r>
        <w:rPr>
          <w:rFonts w:ascii="Calibri" w:hAnsi="Calibri" w:cs="Calibri"/>
          <w:lang w:val="en-NZ" w:eastAsia="en-NZ"/>
        </w:rPr>
        <w:t>Response (</w:t>
      </w:r>
      <w:r w:rsidRPr="001705FD">
        <w:rPr>
          <w:rFonts w:ascii="Calibri" w:hAnsi="Calibri" w:cs="Calibri"/>
          <w:lang w:val="en-NZ" w:eastAsia="en-NZ"/>
        </w:rPr>
        <w:t>actions</w:t>
      </w:r>
      <w:r>
        <w:rPr>
          <w:rFonts w:ascii="Calibri" w:hAnsi="Calibri" w:cs="Calibri"/>
          <w:lang w:val="en-NZ" w:eastAsia="en-NZ"/>
        </w:rPr>
        <w:t>)</w:t>
      </w:r>
      <w:r w:rsidRPr="001705FD">
        <w:rPr>
          <w:rFonts w:ascii="Calibri" w:hAnsi="Calibri" w:cs="Calibri"/>
          <w:lang w:val="en-NZ" w:eastAsia="en-NZ"/>
        </w:rPr>
        <w:t xml:space="preserve"> and capture this in the Course Evaluation and Planning (CEP) report</w:t>
      </w:r>
    </w:p>
    <w:p w14:paraId="36216133" w14:textId="77777777" w:rsidR="00622D58" w:rsidRPr="001705FD" w:rsidRDefault="00622D58" w:rsidP="00622D58">
      <w:pPr>
        <w:shd w:val="clear" w:color="auto" w:fill="FFFFFF" w:themeFill="background1"/>
        <w:ind w:left="720"/>
        <w:rPr>
          <w:rFonts w:ascii="Calibri" w:eastAsia="Times New Roman" w:hAnsi="Calibri" w:cs="Calibri"/>
          <w:color w:val="070F25"/>
          <w:lang w:val="en-NZ" w:eastAsia="en-NZ"/>
        </w:rPr>
      </w:pPr>
      <w:r w:rsidRPr="001705FD">
        <w:rPr>
          <w:rFonts w:ascii="Calibri" w:eastAsia="Times New Roman" w:hAnsi="Calibri" w:cs="Calibri"/>
          <w:b/>
          <w:bCs/>
          <w:color w:val="070F25"/>
          <w:lang w:val="en-NZ" w:eastAsia="en-NZ"/>
        </w:rPr>
        <w:t xml:space="preserve">Note: </w:t>
      </w:r>
      <w:r>
        <w:rPr>
          <w:rFonts w:ascii="Calibri" w:eastAsia="Times New Roman" w:hAnsi="Calibri" w:cs="Calibri"/>
          <w:color w:val="070F25"/>
          <w:lang w:val="en-NZ" w:eastAsia="en-NZ"/>
        </w:rPr>
        <w:t>Themes and Responses</w:t>
      </w:r>
      <w:r w:rsidRPr="001705FD">
        <w:rPr>
          <w:rFonts w:ascii="Calibri" w:eastAsia="Times New Roman" w:hAnsi="Calibri" w:cs="Calibri"/>
          <w:color w:val="070F25"/>
          <w:lang w:val="en-NZ" w:eastAsia="en-NZ"/>
        </w:rPr>
        <w:t xml:space="preserve"> </w:t>
      </w:r>
      <w:r>
        <w:rPr>
          <w:rFonts w:ascii="Calibri" w:eastAsia="Times New Roman" w:hAnsi="Calibri" w:cs="Calibri"/>
          <w:color w:val="070F25"/>
          <w:lang w:val="en-NZ" w:eastAsia="en-NZ"/>
        </w:rPr>
        <w:t>are</w:t>
      </w:r>
      <w:r w:rsidRPr="001705FD">
        <w:rPr>
          <w:rFonts w:ascii="Calibri" w:eastAsia="Times New Roman" w:hAnsi="Calibri" w:cs="Calibri"/>
          <w:color w:val="070F25"/>
          <w:lang w:val="en-NZ" w:eastAsia="en-NZ"/>
        </w:rPr>
        <w:t xml:space="preserve"> typically presented to the </w:t>
      </w:r>
      <w:r w:rsidRPr="001705FD">
        <w:rPr>
          <w:rFonts w:ascii="Calibri" w:eastAsia="Times New Roman" w:hAnsi="Calibri" w:cs="Calibri"/>
          <w:i/>
          <w:iCs/>
          <w:color w:val="070F25"/>
          <w:lang w:val="en-NZ" w:eastAsia="en-NZ"/>
        </w:rPr>
        <w:t>next</w:t>
      </w:r>
      <w:r w:rsidRPr="001705FD">
        <w:rPr>
          <w:rFonts w:ascii="Calibri" w:eastAsia="Times New Roman" w:hAnsi="Calibri" w:cs="Calibri"/>
          <w:color w:val="070F25"/>
          <w:lang w:val="en-NZ" w:eastAsia="en-NZ"/>
        </w:rPr>
        <w:t xml:space="preserve"> cohort of students, though this will vary depending on when the course is offered next (i.e., </w:t>
      </w:r>
      <w:r>
        <w:rPr>
          <w:rFonts w:ascii="Calibri" w:eastAsia="Times New Roman" w:hAnsi="Calibri" w:cs="Calibri"/>
          <w:color w:val="070F25"/>
          <w:lang w:val="en-NZ" w:eastAsia="en-NZ"/>
        </w:rPr>
        <w:t>Themes and Response</w:t>
      </w:r>
      <w:r w:rsidRPr="001705FD">
        <w:rPr>
          <w:rFonts w:ascii="Calibri" w:eastAsia="Times New Roman" w:hAnsi="Calibri" w:cs="Calibri"/>
          <w:color w:val="070F25"/>
          <w:lang w:val="en-NZ" w:eastAsia="en-NZ"/>
        </w:rPr>
        <w:t xml:space="preserve"> from 2025-S1 will be presented to 2025-S2 students (or, if the course only runs once a year, 2026-S1 students).</w:t>
      </w:r>
    </w:p>
    <w:p w14:paraId="7D66B599" w14:textId="77777777" w:rsidR="00622D58" w:rsidRPr="001705FD" w:rsidRDefault="00622D58" w:rsidP="00622D58">
      <w:pPr>
        <w:shd w:val="clear" w:color="auto" w:fill="FFFFFF"/>
        <w:ind w:left="720"/>
        <w:rPr>
          <w:rFonts w:ascii="Calibri" w:eastAsia="Times New Roman" w:hAnsi="Calibri" w:cs="Calibri"/>
          <w:b/>
          <w:bCs/>
          <w:color w:val="070F25"/>
          <w:lang w:val="en-NZ" w:eastAsia="en-NZ"/>
        </w:rPr>
      </w:pPr>
      <w:r w:rsidRPr="001705FD">
        <w:rPr>
          <w:rFonts w:ascii="Calibri" w:eastAsia="Times New Roman" w:hAnsi="Calibri" w:cs="Calibri"/>
          <w:b/>
          <w:bCs/>
          <w:color w:val="070F25"/>
          <w:lang w:val="en-NZ" w:eastAsia="en-NZ"/>
        </w:rPr>
        <w:t xml:space="preserve">You can find relevant information related to the above on </w:t>
      </w:r>
      <w:hyperlink r:id="rId7" w:history="1">
        <w:r w:rsidRPr="001705FD">
          <w:rPr>
            <w:rStyle w:val="Hyperlink"/>
            <w:rFonts w:ascii="Calibri" w:eastAsia="Times New Roman" w:hAnsi="Calibri" w:cs="Calibri"/>
            <w:b/>
            <w:bCs/>
            <w:lang w:val="en-NZ" w:eastAsia="en-NZ"/>
          </w:rPr>
          <w:t>Te Aka | The Nest</w:t>
        </w:r>
      </w:hyperlink>
      <w:r w:rsidRPr="001705FD">
        <w:rPr>
          <w:rFonts w:ascii="Calibri" w:eastAsia="Times New Roman" w:hAnsi="Calibri" w:cs="Calibri"/>
          <w:b/>
          <w:bCs/>
          <w:color w:val="070F25"/>
          <w:lang w:val="en-NZ" w:eastAsia="en-NZ"/>
        </w:rPr>
        <w:t xml:space="preserve"> including:</w:t>
      </w:r>
    </w:p>
    <w:p w14:paraId="1E1BC441" w14:textId="77777777" w:rsidR="00622D58" w:rsidRPr="001705FD" w:rsidRDefault="00622D58" w:rsidP="00622D58">
      <w:pPr>
        <w:pStyle w:val="ListParagraph"/>
        <w:numPr>
          <w:ilvl w:val="0"/>
          <w:numId w:val="2"/>
        </w:numPr>
        <w:shd w:val="clear" w:color="auto" w:fill="FFFFFF"/>
        <w:ind w:left="1571" w:hanging="425"/>
        <w:rPr>
          <w:rFonts w:ascii="Calibri" w:eastAsia="Times New Roman" w:hAnsi="Calibri" w:cs="Calibri"/>
          <w:color w:val="070F25"/>
          <w:sz w:val="21"/>
          <w:szCs w:val="21"/>
          <w:lang w:val="en-NZ" w:eastAsia="en-NZ"/>
        </w:rPr>
      </w:pPr>
      <w:r w:rsidRPr="001705FD">
        <w:rPr>
          <w:rFonts w:ascii="Calibri" w:hAnsi="Calibri" w:cs="Calibri"/>
          <w:i/>
          <w:iCs/>
          <w:lang w:val="en-NZ" w:eastAsia="en-NZ"/>
        </w:rPr>
        <w:t>Student Course Survey – Themes and Response template</w:t>
      </w:r>
    </w:p>
    <w:p w14:paraId="2A44BE7E" w14:textId="77777777" w:rsidR="00622D58" w:rsidRPr="001705FD" w:rsidRDefault="00622D58" w:rsidP="00622D58">
      <w:pPr>
        <w:pStyle w:val="ListParagraph"/>
        <w:shd w:val="clear" w:color="auto" w:fill="FFFFFF"/>
        <w:spacing w:after="0" w:line="240" w:lineRule="auto"/>
        <w:ind w:left="1571"/>
        <w:rPr>
          <w:rFonts w:ascii="Calibri" w:eastAsia="Times New Roman" w:hAnsi="Calibri" w:cs="Calibri"/>
          <w:b/>
          <w:bCs/>
          <w:color w:val="070F25"/>
          <w:sz w:val="21"/>
          <w:szCs w:val="21"/>
          <w:lang w:val="en-NZ" w:eastAsia="en-NZ"/>
        </w:rPr>
      </w:pPr>
    </w:p>
    <w:p w14:paraId="2A4CA930" w14:textId="77777777" w:rsidR="00622D58" w:rsidRPr="001705FD" w:rsidRDefault="00622D58" w:rsidP="00622D58">
      <w:pPr>
        <w:shd w:val="clear" w:color="auto" w:fill="FFFFFF"/>
        <w:ind w:left="720"/>
        <w:rPr>
          <w:rFonts w:ascii="Calibri" w:eastAsia="Times New Roman" w:hAnsi="Calibri" w:cs="Calibri"/>
          <w:b/>
          <w:bCs/>
          <w:color w:val="070F25"/>
          <w:sz w:val="21"/>
          <w:szCs w:val="21"/>
          <w:lang w:val="en-NZ" w:eastAsia="en-NZ"/>
        </w:rPr>
      </w:pPr>
      <w:r w:rsidRPr="001705FD">
        <w:rPr>
          <w:rFonts w:ascii="Calibri" w:eastAsia="Times New Roman" w:hAnsi="Calibri" w:cs="Calibri"/>
          <w:b/>
          <w:bCs/>
          <w:color w:val="070F25"/>
          <w:sz w:val="21"/>
          <w:szCs w:val="21"/>
          <w:lang w:val="en-NZ" w:eastAsia="en-NZ"/>
        </w:rPr>
        <w:lastRenderedPageBreak/>
        <w:t xml:space="preserve">File naming protocol: </w:t>
      </w:r>
      <w:r w:rsidRPr="001705FD">
        <w:rPr>
          <w:rFonts w:ascii="Calibri" w:eastAsia="Times New Roman" w:hAnsi="Calibri" w:cs="Calibri"/>
          <w:b/>
          <w:bCs/>
          <w:color w:val="070F25"/>
          <w:sz w:val="21"/>
          <w:szCs w:val="21"/>
          <w:lang w:val="en-NZ" w:eastAsia="en-NZ"/>
        </w:rPr>
        <w:tab/>
      </w:r>
    </w:p>
    <w:p w14:paraId="5A035FDE" w14:textId="77777777" w:rsidR="00622D58" w:rsidRPr="001705FD" w:rsidRDefault="00622D58" w:rsidP="00622D58">
      <w:pPr>
        <w:shd w:val="clear" w:color="auto" w:fill="FFFFFF"/>
        <w:ind w:left="720" w:firstLine="720"/>
        <w:rPr>
          <w:rFonts w:ascii="Calibri" w:eastAsia="Times New Roman" w:hAnsi="Calibri" w:cs="Calibri"/>
          <w:color w:val="070F25"/>
          <w:sz w:val="21"/>
          <w:szCs w:val="21"/>
          <w:lang w:val="en-NZ" w:eastAsia="en-NZ"/>
        </w:rPr>
      </w:pPr>
      <w:r w:rsidRPr="001705FD">
        <w:rPr>
          <w:rFonts w:ascii="Calibri" w:eastAsia="Times New Roman" w:hAnsi="Calibri" w:cs="Calibri"/>
          <w:b/>
          <w:bCs/>
          <w:color w:val="070F25"/>
          <w:sz w:val="21"/>
          <w:szCs w:val="21"/>
          <w:lang w:val="en-NZ" w:eastAsia="en-NZ"/>
        </w:rPr>
        <w:t xml:space="preserve">Schema: </w:t>
      </w:r>
      <w:r w:rsidRPr="001705FD">
        <w:rPr>
          <w:rFonts w:ascii="Calibri" w:eastAsia="Times New Roman" w:hAnsi="Calibri" w:cs="Calibri"/>
          <w:color w:val="070F25"/>
          <w:sz w:val="21"/>
          <w:szCs w:val="21"/>
          <w:lang w:val="en-NZ" w:eastAsia="en-NZ"/>
        </w:rPr>
        <w:t>[</w:t>
      </w:r>
      <w:proofErr w:type="spellStart"/>
      <w:r w:rsidRPr="001705FD">
        <w:rPr>
          <w:rFonts w:ascii="Calibri" w:eastAsia="Times New Roman" w:hAnsi="Calibri" w:cs="Calibri"/>
          <w:color w:val="070F25"/>
          <w:sz w:val="21"/>
          <w:szCs w:val="21"/>
          <w:lang w:val="en-NZ" w:eastAsia="en-NZ"/>
        </w:rPr>
        <w:t>SubjectcodeCoursecode</w:t>
      </w:r>
      <w:proofErr w:type="spellEnd"/>
      <w:r w:rsidRPr="001705FD">
        <w:rPr>
          <w:rFonts w:ascii="Calibri" w:eastAsia="Times New Roman" w:hAnsi="Calibri" w:cs="Calibri"/>
          <w:color w:val="070F25"/>
          <w:sz w:val="21"/>
          <w:szCs w:val="21"/>
          <w:lang w:val="en-NZ" w:eastAsia="en-NZ"/>
        </w:rPr>
        <w:t>]-[Semester] -[Year]</w:t>
      </w:r>
      <w:proofErr w:type="gramStart"/>
      <w:r w:rsidRPr="001705FD">
        <w:rPr>
          <w:rFonts w:ascii="Calibri" w:eastAsia="Times New Roman" w:hAnsi="Calibri" w:cs="Calibri"/>
          <w:color w:val="070F25"/>
          <w:sz w:val="21"/>
          <w:szCs w:val="21"/>
          <w:lang w:val="en-NZ" w:eastAsia="en-NZ"/>
        </w:rPr>
        <w:t>-[</w:t>
      </w:r>
      <w:proofErr w:type="gramEnd"/>
      <w:r w:rsidRPr="001705FD">
        <w:rPr>
          <w:rFonts w:ascii="Calibri" w:eastAsia="Times New Roman" w:hAnsi="Calibri" w:cs="Calibri"/>
          <w:color w:val="070F25"/>
          <w:sz w:val="21"/>
          <w:szCs w:val="21"/>
          <w:lang w:val="en-NZ" w:eastAsia="en-NZ"/>
        </w:rPr>
        <w:t xml:space="preserve"> </w:t>
      </w:r>
      <w:proofErr w:type="spellStart"/>
      <w:r w:rsidRPr="001705FD">
        <w:rPr>
          <w:rFonts w:ascii="Calibri" w:eastAsia="Times New Roman" w:hAnsi="Calibri" w:cs="Calibri"/>
          <w:color w:val="070F25"/>
          <w:sz w:val="21"/>
          <w:szCs w:val="21"/>
          <w:lang w:val="en-NZ" w:eastAsia="en-NZ"/>
        </w:rPr>
        <w:t>ContentIdentifier</w:t>
      </w:r>
      <w:proofErr w:type="spellEnd"/>
      <w:r w:rsidRPr="001705FD">
        <w:rPr>
          <w:rFonts w:ascii="Calibri" w:eastAsia="Times New Roman" w:hAnsi="Calibri" w:cs="Calibri"/>
          <w:color w:val="070F25"/>
          <w:sz w:val="21"/>
          <w:szCs w:val="21"/>
          <w:lang w:val="en-NZ" w:eastAsia="en-NZ"/>
        </w:rPr>
        <w:t>]-[</w:t>
      </w:r>
      <w:proofErr w:type="spellStart"/>
      <w:r w:rsidRPr="001705FD">
        <w:rPr>
          <w:rFonts w:ascii="Calibri" w:eastAsia="Times New Roman" w:hAnsi="Calibri" w:cs="Calibri"/>
          <w:color w:val="070F25"/>
          <w:sz w:val="21"/>
          <w:szCs w:val="21"/>
          <w:lang w:val="en-NZ" w:eastAsia="en-NZ"/>
        </w:rPr>
        <w:t>ContentIdentifier</w:t>
      </w:r>
      <w:proofErr w:type="spellEnd"/>
      <w:r w:rsidRPr="001705FD">
        <w:rPr>
          <w:rFonts w:ascii="Calibri" w:eastAsia="Times New Roman" w:hAnsi="Calibri" w:cs="Calibri"/>
          <w:color w:val="070F25"/>
          <w:sz w:val="21"/>
          <w:szCs w:val="21"/>
          <w:lang w:val="en-NZ" w:eastAsia="en-NZ"/>
        </w:rPr>
        <w:t>]</w:t>
      </w:r>
    </w:p>
    <w:p w14:paraId="4E81A1C9" w14:textId="77777777" w:rsidR="00622D58" w:rsidRPr="001705FD" w:rsidRDefault="00622D58" w:rsidP="00622D58">
      <w:pPr>
        <w:shd w:val="clear" w:color="auto" w:fill="FFFFFF" w:themeFill="background1"/>
        <w:ind w:left="720" w:firstLine="720"/>
        <w:rPr>
          <w:rFonts w:ascii="Calibri" w:eastAsia="Times New Roman" w:hAnsi="Calibri" w:cs="Calibri"/>
          <w:color w:val="070F25"/>
          <w:sz w:val="21"/>
          <w:szCs w:val="21"/>
          <w:lang w:val="en-NZ" w:eastAsia="en-NZ"/>
        </w:rPr>
      </w:pPr>
      <w:r w:rsidRPr="001705FD">
        <w:rPr>
          <w:rFonts w:ascii="Calibri" w:eastAsia="Times New Roman" w:hAnsi="Calibri" w:cs="Calibri"/>
          <w:b/>
          <w:bCs/>
          <w:color w:val="070F25"/>
          <w:sz w:val="21"/>
          <w:szCs w:val="21"/>
          <w:lang w:val="en-NZ" w:eastAsia="en-NZ"/>
        </w:rPr>
        <w:t xml:space="preserve">Example: </w:t>
      </w:r>
      <w:r w:rsidRPr="001705FD">
        <w:rPr>
          <w:rFonts w:ascii="Calibri" w:eastAsia="Times New Roman" w:hAnsi="Calibri" w:cs="Calibri"/>
          <w:color w:val="070F25"/>
          <w:sz w:val="21"/>
          <w:szCs w:val="21"/>
          <w:lang w:val="en-NZ" w:eastAsia="en-NZ"/>
        </w:rPr>
        <w:t>ACTY5505-S1-2025-SCS-Themes</w:t>
      </w:r>
      <w:r>
        <w:rPr>
          <w:rFonts w:ascii="Calibri" w:eastAsia="Times New Roman" w:hAnsi="Calibri" w:cs="Calibri"/>
          <w:color w:val="070F25"/>
          <w:sz w:val="21"/>
          <w:szCs w:val="21"/>
          <w:lang w:val="en-NZ" w:eastAsia="en-NZ"/>
        </w:rPr>
        <w:t>-</w:t>
      </w:r>
      <w:r w:rsidRPr="001705FD">
        <w:rPr>
          <w:rFonts w:ascii="Calibri" w:eastAsia="Times New Roman" w:hAnsi="Calibri" w:cs="Calibri"/>
          <w:color w:val="070F25"/>
          <w:sz w:val="21"/>
          <w:szCs w:val="21"/>
          <w:lang w:val="en-NZ" w:eastAsia="en-NZ"/>
        </w:rPr>
        <w:t>and</w:t>
      </w:r>
      <w:r>
        <w:rPr>
          <w:rFonts w:ascii="Calibri" w:eastAsia="Times New Roman" w:hAnsi="Calibri" w:cs="Calibri"/>
          <w:color w:val="070F25"/>
          <w:sz w:val="21"/>
          <w:szCs w:val="21"/>
          <w:lang w:val="en-NZ" w:eastAsia="en-NZ"/>
        </w:rPr>
        <w:t>-</w:t>
      </w:r>
      <w:r w:rsidRPr="001705FD">
        <w:rPr>
          <w:rFonts w:ascii="Calibri" w:eastAsia="Times New Roman" w:hAnsi="Calibri" w:cs="Calibri"/>
          <w:color w:val="070F25"/>
          <w:sz w:val="21"/>
          <w:szCs w:val="21"/>
          <w:lang w:val="en-NZ" w:eastAsia="en-NZ"/>
        </w:rPr>
        <w:t>Response</w:t>
      </w:r>
    </w:p>
    <w:p w14:paraId="5E288990" w14:textId="77777777" w:rsidR="00622D58" w:rsidRPr="001705FD" w:rsidRDefault="00622D58" w:rsidP="00622D58">
      <w:pPr>
        <w:shd w:val="clear" w:color="auto" w:fill="FFFFFF"/>
        <w:ind w:left="720" w:firstLine="720"/>
        <w:rPr>
          <w:rFonts w:ascii="Calibri" w:eastAsia="Times New Roman" w:hAnsi="Calibri" w:cs="Calibri"/>
          <w:color w:val="070F25"/>
          <w:sz w:val="21"/>
          <w:szCs w:val="21"/>
          <w:lang w:val="en-NZ" w:eastAsia="en-NZ"/>
        </w:rPr>
      </w:pPr>
      <w:r w:rsidRPr="001705FD">
        <w:rPr>
          <w:rFonts w:ascii="Calibri" w:eastAsia="Times New Roman" w:hAnsi="Calibri" w:cs="Calibri"/>
          <w:color w:val="070F25"/>
          <w:sz w:val="21"/>
          <w:szCs w:val="21"/>
          <w:lang w:val="en-NZ" w:eastAsia="en-NZ"/>
        </w:rPr>
        <w:t>(SCS=Student Course Surveys)</w:t>
      </w:r>
    </w:p>
    <w:p w14:paraId="28174BDB" w14:textId="77777777" w:rsidR="00622D58" w:rsidRPr="001705FD" w:rsidRDefault="00622D58" w:rsidP="00622D58">
      <w:pPr>
        <w:shd w:val="clear" w:color="auto" w:fill="FFFFFF" w:themeFill="background1"/>
        <w:ind w:left="720"/>
        <w:rPr>
          <w:rFonts w:ascii="Calibri" w:eastAsia="Times New Roman" w:hAnsi="Calibri" w:cs="Calibri"/>
          <w:color w:val="070F25"/>
          <w:lang w:val="en-NZ" w:eastAsia="en-NZ"/>
        </w:rPr>
      </w:pPr>
      <w:r w:rsidRPr="001705FD">
        <w:rPr>
          <w:rFonts w:ascii="Calibri" w:eastAsia="Times New Roman" w:hAnsi="Calibri" w:cs="Calibri"/>
          <w:color w:val="070F25"/>
          <w:lang w:val="en-NZ" w:eastAsia="en-NZ"/>
        </w:rPr>
        <w:t>Using the file naming protocol helps keep things consistent and easy for students to recognise across courses.</w:t>
      </w:r>
      <w:r w:rsidRPr="001705FD" w:rsidDel="003832E6">
        <w:rPr>
          <w:rFonts w:ascii="Calibri" w:eastAsia="Times New Roman" w:hAnsi="Calibri" w:cs="Calibri"/>
          <w:color w:val="070F25"/>
          <w:lang w:val="en-NZ" w:eastAsia="en-NZ"/>
        </w:rPr>
        <w:t xml:space="preserve"> </w:t>
      </w:r>
    </w:p>
    <w:p w14:paraId="5F854D5A" w14:textId="77777777" w:rsidR="00622D58" w:rsidRPr="001705FD" w:rsidRDefault="00622D58" w:rsidP="00622D58">
      <w:pPr>
        <w:ind w:left="720"/>
        <w:rPr>
          <w:rFonts w:ascii="Calibri" w:hAnsi="Calibri" w:cs="Calibri"/>
          <w:b/>
          <w:bCs/>
          <w:lang w:val="en-NZ" w:eastAsia="en-NZ"/>
        </w:rPr>
      </w:pPr>
      <w:r w:rsidRPr="001705FD">
        <w:rPr>
          <w:rFonts w:ascii="Calibri" w:hAnsi="Calibri" w:cs="Calibri"/>
          <w:b/>
          <w:bCs/>
          <w:lang w:val="en-NZ" w:eastAsia="en-NZ"/>
        </w:rPr>
        <w:t>Example of themes and actions from a Semester 1, 2025 course</w:t>
      </w:r>
    </w:p>
    <w:p w14:paraId="17F55E13" w14:textId="77777777" w:rsidR="00622D58" w:rsidRPr="001705FD" w:rsidRDefault="00622D58" w:rsidP="00622D58">
      <w:pPr>
        <w:ind w:left="720"/>
        <w:rPr>
          <w:rFonts w:ascii="Calibri" w:hAnsi="Calibri" w:cs="Calibri"/>
          <w:lang w:val="en-NZ" w:eastAsia="en-NZ"/>
        </w:rPr>
      </w:pPr>
      <w:r w:rsidRPr="001705FD">
        <w:rPr>
          <w:rFonts w:ascii="Calibri" w:hAnsi="Calibri" w:cs="Calibri"/>
          <w:lang w:val="en-NZ" w:eastAsia="en-NZ"/>
        </w:rPr>
        <w:t>If the survey response rate is low (i.e., below 25% the survey data is not statistically robust) the first improvement action should be to increase the response rate for future surveys.</w:t>
      </w:r>
    </w:p>
    <w:tbl>
      <w:tblPr>
        <w:tblStyle w:val="TableGrid"/>
        <w:tblW w:w="7149" w:type="dxa"/>
        <w:tblInd w:w="720" w:type="dxa"/>
        <w:tblLook w:val="04A0" w:firstRow="1" w:lastRow="0" w:firstColumn="1" w:lastColumn="0" w:noHBand="0" w:noVBand="1"/>
      </w:tblPr>
      <w:tblGrid>
        <w:gridCol w:w="7149"/>
      </w:tblGrid>
      <w:tr w:rsidR="00622D58" w:rsidRPr="005A30F5" w14:paraId="6DDA989C" w14:textId="77777777" w:rsidTr="001705FD">
        <w:trPr>
          <w:trHeight w:val="224"/>
        </w:trPr>
        <w:tc>
          <w:tcPr>
            <w:tcW w:w="7149" w:type="dxa"/>
          </w:tcPr>
          <w:p w14:paraId="56BB633A" w14:textId="77777777" w:rsidR="00622D58" w:rsidRPr="001705FD" w:rsidRDefault="00622D58" w:rsidP="001705FD">
            <w:pPr>
              <w:rPr>
                <w:rFonts w:eastAsia="Times New Roman"/>
                <w:b/>
                <w:bCs/>
                <w:color w:val="070F25"/>
                <w:sz w:val="16"/>
                <w:szCs w:val="16"/>
                <w:lang w:val="en-NZ" w:eastAsia="en-NZ"/>
              </w:rPr>
            </w:pPr>
            <w:bookmarkStart w:id="0" w:name="_Hlk212707215"/>
            <w:r w:rsidRPr="001705FD">
              <w:rPr>
                <w:rFonts w:eastAsia="Times New Roman"/>
                <w:b/>
                <w:bCs/>
                <w:color w:val="070F25"/>
                <w:sz w:val="16"/>
                <w:szCs w:val="16"/>
                <w:lang w:val="en-NZ" w:eastAsia="en-NZ"/>
              </w:rPr>
              <w:t>Theme 1 from Survey feedback:</w:t>
            </w:r>
          </w:p>
        </w:tc>
      </w:tr>
      <w:bookmarkEnd w:id="0"/>
      <w:tr w:rsidR="00622D58" w:rsidRPr="005A30F5" w14:paraId="677BE6C2" w14:textId="77777777" w:rsidTr="001705FD">
        <w:trPr>
          <w:trHeight w:val="236"/>
        </w:trPr>
        <w:tc>
          <w:tcPr>
            <w:tcW w:w="7149" w:type="dxa"/>
            <w:tcBorders>
              <w:bottom w:val="single" w:sz="4" w:space="0" w:color="auto"/>
            </w:tcBorders>
          </w:tcPr>
          <w:p w14:paraId="761D9221"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Survey response rates too low for robust data</w:t>
            </w:r>
          </w:p>
        </w:tc>
      </w:tr>
      <w:tr w:rsidR="00622D58" w:rsidRPr="005A30F5" w14:paraId="0A454F7E" w14:textId="77777777" w:rsidTr="001705FD">
        <w:trPr>
          <w:trHeight w:val="224"/>
        </w:trPr>
        <w:tc>
          <w:tcPr>
            <w:tcW w:w="7149" w:type="dxa"/>
          </w:tcPr>
          <w:p w14:paraId="17509A8A" w14:textId="77777777" w:rsidR="00622D58" w:rsidRPr="001705FD" w:rsidRDefault="00622D58" w:rsidP="001705FD">
            <w:pPr>
              <w:rPr>
                <w:rFonts w:eastAsia="Times New Roman"/>
                <w:color w:val="070F25"/>
                <w:sz w:val="16"/>
                <w:szCs w:val="16"/>
                <w:lang w:val="en-NZ" w:eastAsia="en-NZ"/>
              </w:rPr>
            </w:pPr>
            <w:r w:rsidRPr="001705FD">
              <w:rPr>
                <w:rFonts w:eastAsia="Times New Roman"/>
                <w:b/>
                <w:bCs/>
                <w:color w:val="070F25"/>
                <w:sz w:val="16"/>
                <w:szCs w:val="16"/>
                <w:lang w:val="en-NZ" w:eastAsia="en-NZ"/>
              </w:rPr>
              <w:t>Response to Theme 1:</w:t>
            </w:r>
          </w:p>
        </w:tc>
      </w:tr>
      <w:tr w:rsidR="00622D58" w:rsidRPr="005A30F5" w14:paraId="3708827F" w14:textId="77777777" w:rsidTr="001705FD">
        <w:trPr>
          <w:trHeight w:val="460"/>
        </w:trPr>
        <w:tc>
          <w:tcPr>
            <w:tcW w:w="7149" w:type="dxa"/>
            <w:tcBorders>
              <w:bottom w:val="single" w:sz="4" w:space="0" w:color="auto"/>
            </w:tcBorders>
          </w:tcPr>
          <w:p w14:paraId="20074075" w14:textId="77777777" w:rsidR="00622D58" w:rsidRPr="001705FD" w:rsidRDefault="00622D58" w:rsidP="001705FD">
            <w:pPr>
              <w:rPr>
                <w:rFonts w:ascii="Calibri" w:eastAsia="Times New Roman" w:hAnsi="Calibri" w:cs="Calibri"/>
                <w:color w:val="070F25"/>
                <w:sz w:val="16"/>
                <w:szCs w:val="16"/>
                <w:lang w:val="en-NZ" w:eastAsia="en-NZ"/>
              </w:rPr>
            </w:pPr>
            <w:r w:rsidRPr="001705FD">
              <w:rPr>
                <w:rFonts w:ascii="Calibri" w:eastAsia="Times New Roman" w:hAnsi="Calibri" w:cs="Calibri"/>
                <w:color w:val="070F25"/>
                <w:sz w:val="16"/>
                <w:szCs w:val="16"/>
                <w:lang w:val="en-NZ" w:eastAsia="en-NZ"/>
              </w:rPr>
              <w:t>I will allocate 15 minutes of class time in week 12 for students to complete the survey.</w:t>
            </w:r>
          </w:p>
          <w:p w14:paraId="51409E5F"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I will reinforce to students the importance of providing feedback in weeks 11-13.</w:t>
            </w:r>
          </w:p>
        </w:tc>
      </w:tr>
      <w:tr w:rsidR="00622D58" w:rsidRPr="005A30F5" w14:paraId="2B008C93" w14:textId="77777777" w:rsidTr="001705FD">
        <w:trPr>
          <w:trHeight w:val="224"/>
        </w:trPr>
        <w:tc>
          <w:tcPr>
            <w:tcW w:w="7149" w:type="dxa"/>
            <w:tcBorders>
              <w:left w:val="nil"/>
              <w:bottom w:val="nil"/>
            </w:tcBorders>
          </w:tcPr>
          <w:p w14:paraId="5C830FC3" w14:textId="77777777" w:rsidR="00622D58" w:rsidRPr="001705FD" w:rsidRDefault="00622D58" w:rsidP="001705FD">
            <w:pPr>
              <w:rPr>
                <w:rFonts w:eastAsia="Times New Roman"/>
                <w:color w:val="070F25"/>
                <w:sz w:val="16"/>
                <w:szCs w:val="16"/>
                <w:lang w:val="en-NZ" w:eastAsia="en-NZ"/>
              </w:rPr>
            </w:pPr>
          </w:p>
        </w:tc>
      </w:tr>
      <w:tr w:rsidR="00622D58" w:rsidRPr="005A30F5" w14:paraId="400F066F" w14:textId="77777777" w:rsidTr="001705FD">
        <w:trPr>
          <w:trHeight w:val="224"/>
        </w:trPr>
        <w:tc>
          <w:tcPr>
            <w:tcW w:w="7149" w:type="dxa"/>
            <w:tcBorders>
              <w:top w:val="nil"/>
              <w:left w:val="nil"/>
              <w:right w:val="nil"/>
            </w:tcBorders>
          </w:tcPr>
          <w:p w14:paraId="4F1DA9FC" w14:textId="77777777" w:rsidR="00622D58" w:rsidRPr="001705FD" w:rsidRDefault="00622D58" w:rsidP="001705FD">
            <w:pPr>
              <w:rPr>
                <w:rFonts w:eastAsia="Times New Roman"/>
                <w:color w:val="070F25"/>
                <w:sz w:val="16"/>
                <w:szCs w:val="16"/>
                <w:lang w:val="en-NZ" w:eastAsia="en-NZ"/>
              </w:rPr>
            </w:pPr>
          </w:p>
        </w:tc>
      </w:tr>
      <w:tr w:rsidR="00622D58" w:rsidRPr="005A30F5" w14:paraId="3017D9B4" w14:textId="77777777" w:rsidTr="001705FD">
        <w:trPr>
          <w:trHeight w:val="236"/>
        </w:trPr>
        <w:tc>
          <w:tcPr>
            <w:tcW w:w="7149" w:type="dxa"/>
          </w:tcPr>
          <w:p w14:paraId="1B769AA8" w14:textId="77777777" w:rsidR="00622D58" w:rsidRPr="001705FD" w:rsidRDefault="00622D58" w:rsidP="001705FD">
            <w:pPr>
              <w:rPr>
                <w:rFonts w:eastAsia="Times New Roman"/>
                <w:b/>
                <w:bCs/>
                <w:color w:val="070F25"/>
                <w:sz w:val="16"/>
                <w:szCs w:val="16"/>
                <w:lang w:val="en-NZ" w:eastAsia="en-NZ"/>
              </w:rPr>
            </w:pPr>
            <w:r w:rsidRPr="001705FD">
              <w:rPr>
                <w:rFonts w:eastAsia="Times New Roman"/>
                <w:b/>
                <w:bCs/>
                <w:color w:val="070F25"/>
                <w:sz w:val="16"/>
                <w:szCs w:val="16"/>
                <w:lang w:val="en-NZ" w:eastAsia="en-NZ"/>
              </w:rPr>
              <w:t>Theme 2 from Survey feedback:</w:t>
            </w:r>
          </w:p>
        </w:tc>
      </w:tr>
      <w:tr w:rsidR="00622D58" w:rsidRPr="005A30F5" w14:paraId="22588473" w14:textId="77777777" w:rsidTr="001705FD">
        <w:trPr>
          <w:trHeight w:val="224"/>
        </w:trPr>
        <w:tc>
          <w:tcPr>
            <w:tcW w:w="7149" w:type="dxa"/>
            <w:tcBorders>
              <w:bottom w:val="single" w:sz="4" w:space="0" w:color="auto"/>
            </w:tcBorders>
          </w:tcPr>
          <w:p w14:paraId="1E078A7C"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Strong positive feedback on group assessment processes and understanding how they are being marked</w:t>
            </w:r>
          </w:p>
        </w:tc>
      </w:tr>
      <w:tr w:rsidR="00622D58" w:rsidRPr="005A30F5" w14:paraId="370A3C41" w14:textId="77777777" w:rsidTr="001705FD">
        <w:trPr>
          <w:trHeight w:val="236"/>
        </w:trPr>
        <w:tc>
          <w:tcPr>
            <w:tcW w:w="7149" w:type="dxa"/>
          </w:tcPr>
          <w:p w14:paraId="38DDFB9B" w14:textId="77777777" w:rsidR="00622D58" w:rsidRPr="001705FD" w:rsidRDefault="00622D58" w:rsidP="001705FD">
            <w:pPr>
              <w:rPr>
                <w:rFonts w:eastAsia="Times New Roman"/>
                <w:color w:val="070F25"/>
                <w:sz w:val="16"/>
                <w:szCs w:val="16"/>
                <w:lang w:val="en-NZ" w:eastAsia="en-NZ"/>
              </w:rPr>
            </w:pPr>
            <w:r w:rsidRPr="001705FD">
              <w:rPr>
                <w:rFonts w:eastAsia="Times New Roman"/>
                <w:b/>
                <w:bCs/>
                <w:color w:val="070F25"/>
                <w:sz w:val="16"/>
                <w:szCs w:val="16"/>
                <w:lang w:val="en-NZ" w:eastAsia="en-NZ"/>
              </w:rPr>
              <w:t>Response to Theme 2:</w:t>
            </w:r>
          </w:p>
        </w:tc>
      </w:tr>
      <w:tr w:rsidR="00622D58" w:rsidRPr="005A30F5" w14:paraId="568245C5" w14:textId="77777777" w:rsidTr="001705FD">
        <w:trPr>
          <w:trHeight w:val="224"/>
        </w:trPr>
        <w:tc>
          <w:tcPr>
            <w:tcW w:w="7149" w:type="dxa"/>
            <w:tcBorders>
              <w:bottom w:val="single" w:sz="4" w:space="0" w:color="auto"/>
            </w:tcBorders>
          </w:tcPr>
          <w:p w14:paraId="1EB66660"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Share student feedback and assessment best practice with other staff</w:t>
            </w:r>
          </w:p>
        </w:tc>
      </w:tr>
      <w:tr w:rsidR="00622D58" w:rsidRPr="005A30F5" w14:paraId="56AC04C6" w14:textId="77777777" w:rsidTr="001705FD">
        <w:trPr>
          <w:trHeight w:val="224"/>
        </w:trPr>
        <w:tc>
          <w:tcPr>
            <w:tcW w:w="7149" w:type="dxa"/>
            <w:tcBorders>
              <w:left w:val="nil"/>
              <w:bottom w:val="nil"/>
              <w:right w:val="nil"/>
            </w:tcBorders>
          </w:tcPr>
          <w:p w14:paraId="5EBB68B0" w14:textId="77777777" w:rsidR="00622D58" w:rsidRPr="001705FD" w:rsidRDefault="00622D58" w:rsidP="001705FD">
            <w:pPr>
              <w:rPr>
                <w:rFonts w:eastAsia="Times New Roman"/>
                <w:color w:val="070F25"/>
                <w:sz w:val="16"/>
                <w:szCs w:val="16"/>
                <w:lang w:val="en-NZ" w:eastAsia="en-NZ"/>
              </w:rPr>
            </w:pPr>
          </w:p>
        </w:tc>
      </w:tr>
      <w:tr w:rsidR="00622D58" w:rsidRPr="005A30F5" w14:paraId="51AB68BF" w14:textId="77777777" w:rsidTr="001705FD">
        <w:trPr>
          <w:trHeight w:val="224"/>
        </w:trPr>
        <w:tc>
          <w:tcPr>
            <w:tcW w:w="7149" w:type="dxa"/>
            <w:tcBorders>
              <w:top w:val="nil"/>
              <w:left w:val="nil"/>
              <w:right w:val="nil"/>
            </w:tcBorders>
          </w:tcPr>
          <w:p w14:paraId="203FFBCB" w14:textId="77777777" w:rsidR="00622D58" w:rsidRPr="001705FD" w:rsidRDefault="00622D58" w:rsidP="001705FD">
            <w:pPr>
              <w:rPr>
                <w:rFonts w:eastAsia="Times New Roman"/>
                <w:b/>
                <w:bCs/>
                <w:color w:val="070F25"/>
                <w:sz w:val="16"/>
                <w:szCs w:val="16"/>
                <w:lang w:val="en-NZ" w:eastAsia="en-NZ"/>
              </w:rPr>
            </w:pPr>
          </w:p>
        </w:tc>
      </w:tr>
      <w:tr w:rsidR="00622D58" w:rsidRPr="005A30F5" w14:paraId="64FA79EC" w14:textId="77777777" w:rsidTr="001705FD">
        <w:trPr>
          <w:trHeight w:val="236"/>
        </w:trPr>
        <w:tc>
          <w:tcPr>
            <w:tcW w:w="7149" w:type="dxa"/>
          </w:tcPr>
          <w:p w14:paraId="37DE4499" w14:textId="77777777" w:rsidR="00622D58" w:rsidRPr="001705FD" w:rsidRDefault="00622D58" w:rsidP="001705FD">
            <w:pPr>
              <w:rPr>
                <w:rFonts w:eastAsia="Times New Roman"/>
                <w:color w:val="070F25"/>
                <w:sz w:val="16"/>
                <w:szCs w:val="16"/>
                <w:lang w:val="en-NZ" w:eastAsia="en-NZ"/>
              </w:rPr>
            </w:pPr>
            <w:r w:rsidRPr="001705FD">
              <w:rPr>
                <w:rFonts w:eastAsia="Times New Roman"/>
                <w:b/>
                <w:bCs/>
                <w:color w:val="070F25"/>
                <w:sz w:val="16"/>
                <w:szCs w:val="16"/>
                <w:lang w:val="en-NZ" w:eastAsia="en-NZ"/>
              </w:rPr>
              <w:t>Theme 3 from Survey feedback:</w:t>
            </w:r>
          </w:p>
        </w:tc>
      </w:tr>
      <w:tr w:rsidR="00622D58" w:rsidRPr="005A30F5" w14:paraId="1FB1EADC" w14:textId="77777777" w:rsidTr="001705FD">
        <w:trPr>
          <w:trHeight w:val="224"/>
        </w:trPr>
        <w:tc>
          <w:tcPr>
            <w:tcW w:w="7149" w:type="dxa"/>
          </w:tcPr>
          <w:p w14:paraId="7824327D"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Course structure not clear to students</w:t>
            </w:r>
          </w:p>
        </w:tc>
      </w:tr>
      <w:tr w:rsidR="00622D58" w:rsidRPr="005A30F5" w14:paraId="176D925D" w14:textId="77777777" w:rsidTr="001705FD">
        <w:trPr>
          <w:trHeight w:val="224"/>
        </w:trPr>
        <w:tc>
          <w:tcPr>
            <w:tcW w:w="7149" w:type="dxa"/>
          </w:tcPr>
          <w:p w14:paraId="078BC0BC" w14:textId="77777777" w:rsidR="00622D58" w:rsidRPr="001705FD" w:rsidRDefault="00622D58" w:rsidP="001705FD">
            <w:pPr>
              <w:rPr>
                <w:rFonts w:eastAsia="Times New Roman"/>
                <w:color w:val="070F25"/>
                <w:sz w:val="16"/>
                <w:szCs w:val="16"/>
                <w:lang w:val="en-NZ" w:eastAsia="en-NZ"/>
              </w:rPr>
            </w:pPr>
            <w:r w:rsidRPr="001705FD">
              <w:rPr>
                <w:rFonts w:eastAsia="Times New Roman"/>
                <w:b/>
                <w:bCs/>
                <w:color w:val="070F25"/>
                <w:sz w:val="16"/>
                <w:szCs w:val="16"/>
                <w:lang w:val="en-NZ" w:eastAsia="en-NZ"/>
              </w:rPr>
              <w:t>Response to Theme 3:</w:t>
            </w:r>
          </w:p>
        </w:tc>
      </w:tr>
      <w:tr w:rsidR="00622D58" w:rsidRPr="005A30F5" w14:paraId="19F9F62D" w14:textId="77777777" w:rsidTr="001705FD">
        <w:trPr>
          <w:trHeight w:val="460"/>
        </w:trPr>
        <w:tc>
          <w:tcPr>
            <w:tcW w:w="7149" w:type="dxa"/>
          </w:tcPr>
          <w:p w14:paraId="6194B7C0" w14:textId="77777777" w:rsidR="00622D58" w:rsidRPr="001705FD" w:rsidRDefault="00622D58" w:rsidP="001705FD">
            <w:pPr>
              <w:rPr>
                <w:rFonts w:ascii="Calibri" w:eastAsia="Times New Roman" w:hAnsi="Calibri" w:cs="Calibri"/>
                <w:color w:val="070F25"/>
                <w:sz w:val="16"/>
                <w:szCs w:val="16"/>
                <w:lang w:val="en-NZ" w:eastAsia="en-NZ"/>
              </w:rPr>
            </w:pPr>
            <w:r w:rsidRPr="001705FD">
              <w:rPr>
                <w:rFonts w:ascii="Calibri" w:eastAsia="Times New Roman" w:hAnsi="Calibri" w:cs="Calibri"/>
                <w:color w:val="070F25"/>
                <w:sz w:val="16"/>
                <w:szCs w:val="16"/>
                <w:lang w:val="en-NZ" w:eastAsia="en-NZ"/>
              </w:rPr>
              <w:t>The course structure will be reviewed and a clear weekly course plan developed in time for next semester.</w:t>
            </w:r>
          </w:p>
          <w:p w14:paraId="215A22E9" w14:textId="77777777" w:rsidR="00622D58" w:rsidRPr="001705FD" w:rsidRDefault="00622D58" w:rsidP="001705FD">
            <w:pPr>
              <w:rPr>
                <w:rFonts w:eastAsia="Times New Roman"/>
                <w:color w:val="070F25"/>
                <w:sz w:val="16"/>
                <w:szCs w:val="16"/>
                <w:lang w:val="en-NZ" w:eastAsia="en-NZ"/>
              </w:rPr>
            </w:pPr>
            <w:r w:rsidRPr="001705FD">
              <w:rPr>
                <w:rFonts w:ascii="Calibri" w:eastAsia="Times New Roman" w:hAnsi="Calibri" w:cs="Calibri"/>
                <w:color w:val="070F25"/>
                <w:sz w:val="16"/>
                <w:szCs w:val="16"/>
                <w:lang w:val="en-NZ" w:eastAsia="en-NZ"/>
              </w:rPr>
              <w:t>The weekly course plan will be uploaded to Moodle and presented to students in the first week of class.</w:t>
            </w:r>
          </w:p>
        </w:tc>
      </w:tr>
    </w:tbl>
    <w:p w14:paraId="2565D24C" w14:textId="77777777" w:rsidR="00622D58" w:rsidRPr="001705FD" w:rsidRDefault="00622D58" w:rsidP="00622D58">
      <w:pPr>
        <w:shd w:val="clear" w:color="auto" w:fill="FFFFFF"/>
        <w:ind w:left="720"/>
        <w:rPr>
          <w:rFonts w:ascii="Calibri" w:eastAsia="Times New Roman" w:hAnsi="Calibri" w:cs="Calibri"/>
          <w:color w:val="070F25"/>
          <w:sz w:val="21"/>
          <w:szCs w:val="21"/>
          <w:lang w:val="en-NZ" w:eastAsia="en-NZ"/>
        </w:rPr>
      </w:pPr>
    </w:p>
    <w:p w14:paraId="4E417F0E" w14:textId="77777777" w:rsidR="00622D58" w:rsidRPr="001705FD" w:rsidRDefault="00622D58" w:rsidP="00622D58">
      <w:pPr>
        <w:shd w:val="clear" w:color="auto" w:fill="FFFFFF"/>
        <w:ind w:left="720"/>
        <w:rPr>
          <w:rFonts w:ascii="Calibri" w:eastAsia="Times New Roman" w:hAnsi="Calibri" w:cs="Calibri"/>
          <w:color w:val="070F25"/>
          <w:sz w:val="21"/>
          <w:szCs w:val="21"/>
          <w:lang w:val="en-NZ" w:eastAsia="en-NZ"/>
        </w:rPr>
      </w:pPr>
      <w:r w:rsidRPr="001705FD">
        <w:rPr>
          <w:rFonts w:ascii="Calibri" w:eastAsia="Times New Roman" w:hAnsi="Calibri" w:cs="Calibri"/>
          <w:color w:val="070F25"/>
          <w:sz w:val="21"/>
          <w:szCs w:val="21"/>
          <w:lang w:val="en-NZ" w:eastAsia="en-NZ"/>
        </w:rPr>
        <w:t xml:space="preserve">Please ensure you keep the formatting as above, otherwise when copied to the CEP report it will be difficult to read. </w:t>
      </w:r>
    </w:p>
    <w:p w14:paraId="41B426EF" w14:textId="77777777" w:rsidR="00622D58" w:rsidRPr="001705FD" w:rsidRDefault="00622D58" w:rsidP="00622D58">
      <w:pPr>
        <w:shd w:val="clear" w:color="auto" w:fill="FFFFFF"/>
        <w:rPr>
          <w:rFonts w:ascii="Calibri" w:eastAsia="Times New Roman" w:hAnsi="Calibri" w:cs="Calibri"/>
          <w:b/>
          <w:bCs/>
          <w:color w:val="070F25"/>
          <w:sz w:val="21"/>
          <w:szCs w:val="21"/>
          <w:lang w:val="en-NZ" w:eastAsia="en-NZ"/>
        </w:rPr>
      </w:pPr>
    </w:p>
    <w:p w14:paraId="0B693445" w14:textId="77777777" w:rsidR="00676A13" w:rsidRDefault="00676A13"/>
    <w:sectPr w:rsidR="00676A13" w:rsidSect="00622D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861EB"/>
    <w:multiLevelType w:val="hybridMultilevel"/>
    <w:tmpl w:val="834A27B0"/>
    <w:lvl w:ilvl="0" w:tplc="04D0F17E">
      <w:start w:val="1"/>
      <w:numFmt w:val="bullet"/>
      <w:lvlText w:val=""/>
      <w:lvlJc w:val="left"/>
      <w:pPr>
        <w:ind w:left="3240" w:hanging="360"/>
      </w:pPr>
      <w:rPr>
        <w:rFonts w:ascii="Symbol" w:hAnsi="Symbol" w:hint="default"/>
        <w:color w:val="auto"/>
      </w:rPr>
    </w:lvl>
    <w:lvl w:ilvl="1" w:tplc="14090003">
      <w:start w:val="1"/>
      <w:numFmt w:val="bullet"/>
      <w:lvlText w:val="o"/>
      <w:lvlJc w:val="left"/>
      <w:pPr>
        <w:ind w:left="3960" w:hanging="360"/>
      </w:pPr>
      <w:rPr>
        <w:rFonts w:ascii="Courier New" w:hAnsi="Courier New" w:cs="Courier New" w:hint="default"/>
      </w:rPr>
    </w:lvl>
    <w:lvl w:ilvl="2" w:tplc="14090005">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1" w15:restartNumberingAfterBreak="0">
    <w:nsid w:val="24697D2C"/>
    <w:multiLevelType w:val="hybridMultilevel"/>
    <w:tmpl w:val="AB9E3D8E"/>
    <w:lvl w:ilvl="0" w:tplc="34D06E72">
      <w:start w:val="1"/>
      <w:numFmt w:val="decimal"/>
      <w:lvlText w:val="%1."/>
      <w:lvlJc w:val="left"/>
      <w:pPr>
        <w:ind w:left="720" w:hanging="360"/>
      </w:pPr>
      <w:rPr>
        <w:rFonts w:ascii="Calibri" w:hAnsi="Calibri" w:cs="Calibri" w:hint="default"/>
        <w:sz w:val="22"/>
        <w:szCs w:val="22"/>
      </w:rPr>
    </w:lvl>
    <w:lvl w:ilvl="1" w:tplc="FEDCC6EE">
      <w:start w:val="1"/>
      <w:numFmt w:val="lowerLetter"/>
      <w:lvlText w:val="%2."/>
      <w:lvlJc w:val="left"/>
      <w:pPr>
        <w:ind w:left="1440" w:hanging="360"/>
      </w:pPr>
      <w:rPr>
        <w:sz w:val="22"/>
        <w:szCs w:val="22"/>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44080816">
    <w:abstractNumId w:val="1"/>
  </w:num>
  <w:num w:numId="2" w16cid:durableId="43104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58"/>
    <w:rsid w:val="005C2E55"/>
    <w:rsid w:val="00622D58"/>
    <w:rsid w:val="00676A13"/>
    <w:rsid w:val="00AB1700"/>
    <w:rsid w:val="00AC733D"/>
    <w:rsid w:val="00F472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166E"/>
  <w15:chartTrackingRefBased/>
  <w15:docId w15:val="{675C8A55-3817-4AC1-8FBE-5F18B9D0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58"/>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22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D58"/>
    <w:rPr>
      <w:rFonts w:eastAsiaTheme="majorEastAsia" w:cstheme="majorBidi"/>
      <w:color w:val="272727" w:themeColor="text1" w:themeTint="D8"/>
    </w:rPr>
  </w:style>
  <w:style w:type="paragraph" w:styleId="Title">
    <w:name w:val="Title"/>
    <w:basedOn w:val="Normal"/>
    <w:next w:val="Normal"/>
    <w:link w:val="TitleChar"/>
    <w:uiPriority w:val="10"/>
    <w:qFormat/>
    <w:rsid w:val="0062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D58"/>
    <w:pPr>
      <w:spacing w:before="160"/>
      <w:jc w:val="center"/>
    </w:pPr>
    <w:rPr>
      <w:i/>
      <w:iCs/>
      <w:color w:val="404040" w:themeColor="text1" w:themeTint="BF"/>
    </w:rPr>
  </w:style>
  <w:style w:type="character" w:customStyle="1" w:styleId="QuoteChar">
    <w:name w:val="Quote Char"/>
    <w:basedOn w:val="DefaultParagraphFont"/>
    <w:link w:val="Quote"/>
    <w:uiPriority w:val="29"/>
    <w:rsid w:val="00622D58"/>
    <w:rPr>
      <w:i/>
      <w:iCs/>
      <w:color w:val="404040" w:themeColor="text1" w:themeTint="BF"/>
    </w:rPr>
  </w:style>
  <w:style w:type="paragraph" w:styleId="ListParagraph">
    <w:name w:val="List Paragraph"/>
    <w:basedOn w:val="Normal"/>
    <w:uiPriority w:val="34"/>
    <w:qFormat/>
    <w:rsid w:val="00622D58"/>
    <w:pPr>
      <w:ind w:left="720"/>
      <w:contextualSpacing/>
    </w:pPr>
  </w:style>
  <w:style w:type="character" w:styleId="IntenseEmphasis">
    <w:name w:val="Intense Emphasis"/>
    <w:basedOn w:val="DefaultParagraphFont"/>
    <w:uiPriority w:val="21"/>
    <w:qFormat/>
    <w:rsid w:val="00622D58"/>
    <w:rPr>
      <w:i/>
      <w:iCs/>
      <w:color w:val="0F4761" w:themeColor="accent1" w:themeShade="BF"/>
    </w:rPr>
  </w:style>
  <w:style w:type="paragraph" w:styleId="IntenseQuote">
    <w:name w:val="Intense Quote"/>
    <w:basedOn w:val="Normal"/>
    <w:next w:val="Normal"/>
    <w:link w:val="IntenseQuoteChar"/>
    <w:uiPriority w:val="30"/>
    <w:qFormat/>
    <w:rsid w:val="0062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D58"/>
    <w:rPr>
      <w:i/>
      <w:iCs/>
      <w:color w:val="0F4761" w:themeColor="accent1" w:themeShade="BF"/>
    </w:rPr>
  </w:style>
  <w:style w:type="character" w:styleId="IntenseReference">
    <w:name w:val="Intense Reference"/>
    <w:basedOn w:val="DefaultParagraphFont"/>
    <w:uiPriority w:val="32"/>
    <w:qFormat/>
    <w:rsid w:val="00622D58"/>
    <w:rPr>
      <w:b/>
      <w:bCs/>
      <w:smallCaps/>
      <w:color w:val="0F4761" w:themeColor="accent1" w:themeShade="BF"/>
      <w:spacing w:val="5"/>
    </w:rPr>
  </w:style>
  <w:style w:type="character" w:styleId="Hyperlink">
    <w:name w:val="Hyperlink"/>
    <w:basedOn w:val="DefaultParagraphFont"/>
    <w:uiPriority w:val="99"/>
    <w:unhideWhenUsed/>
    <w:rsid w:val="00622D58"/>
    <w:rPr>
      <w:color w:val="467886" w:themeColor="hyperlink"/>
      <w:u w:val="single"/>
    </w:rPr>
  </w:style>
  <w:style w:type="table" w:styleId="TableGrid">
    <w:name w:val="Table Grid"/>
    <w:basedOn w:val="TableNormal"/>
    <w:uiPriority w:val="39"/>
    <w:rsid w:val="00622D58"/>
    <w:pPr>
      <w:spacing w:after="0" w:line="240" w:lineRule="auto"/>
    </w:pPr>
    <w:rPr>
      <w:kern w:val="0"/>
      <w:sz w:val="22"/>
      <w:szCs w:val="22"/>
      <w:lang w:val="en-US"/>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enest.unitec.ac.nz/TheNestWP/teaching-and-research/te-korowai-kahurangi/unitec-reporting/student-course-surve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nest.unitec.ac.nz/TheNestWP/teaching-and-research/te-korowai-kahurangi/unitec-reporting/student-course-survey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ADA1-D682-4E6D-8DBD-E84AD494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3316</Characters>
  <Application>Microsoft Office Word</Application>
  <DocSecurity>0</DocSecurity>
  <Lines>27</Lines>
  <Paragraphs>7</Paragraphs>
  <ScaleCrop>false</ScaleCrop>
  <Company>Unitec New Zealand Limited</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Tries</dc:creator>
  <cp:keywords/>
  <dc:description/>
  <cp:lastModifiedBy>Simon Tries</cp:lastModifiedBy>
  <cp:revision>2</cp:revision>
  <dcterms:created xsi:type="dcterms:W3CDTF">2025-11-16T18:38:00Z</dcterms:created>
  <dcterms:modified xsi:type="dcterms:W3CDTF">2025-11-16T18:41:00Z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5eedb-0807-4148-b3ff-92935f36a1c6_Enabled">
    <vt:lpwstr>true</vt:lpwstr>
  </property>
  <property fmtid="{D5CDD505-2E9C-101B-9397-08002B2CF9AE}" pid="3" name="MSIP_Label_2215eedb-0807-4148-b3ff-92935f36a1c6_SetDate">
    <vt:lpwstr>2025-11-16T18:40:16Z</vt:lpwstr>
  </property>
  <property fmtid="{D5CDD505-2E9C-101B-9397-08002B2CF9AE}" pid="4" name="MSIP_Label_2215eedb-0807-4148-b3ff-92935f36a1c6_Method">
    <vt:lpwstr>Privileged</vt:lpwstr>
  </property>
  <property fmtid="{D5CDD505-2E9C-101B-9397-08002B2CF9AE}" pid="5" name="MSIP_Label_2215eedb-0807-4148-b3ff-92935f36a1c6_Name">
    <vt:lpwstr>defa4170-0d19-0005-0002-bc88714345d2</vt:lpwstr>
  </property>
  <property fmtid="{D5CDD505-2E9C-101B-9397-08002B2CF9AE}" pid="6" name="MSIP_Label_2215eedb-0807-4148-b3ff-92935f36a1c6_SiteId">
    <vt:lpwstr>80f389b2-7380-4b67-b527-7f711a578130</vt:lpwstr>
  </property>
  <property fmtid="{D5CDD505-2E9C-101B-9397-08002B2CF9AE}" pid="7" name="MSIP_Label_2215eedb-0807-4148-b3ff-92935f36a1c6_ActionId">
    <vt:lpwstr>db2161f3-1479-42d5-b51d-5195e8524b4b</vt:lpwstr>
  </property>
  <property fmtid="{D5CDD505-2E9C-101B-9397-08002B2CF9AE}" pid="8" name="MSIP_Label_2215eedb-0807-4148-b3ff-92935f36a1c6_ContentBits">
    <vt:lpwstr>0</vt:lpwstr>
  </property>
</Properties>
</file>