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2A8F" w14:textId="3AAF688E" w:rsidR="00A65E0D" w:rsidRPr="00F50D3F" w:rsidRDefault="00F50D3F" w:rsidP="00A65E0D">
      <w:pPr>
        <w:spacing w:before="100" w:beforeAutospacing="1" w:after="100" w:afterAutospacing="1" w:line="240" w:lineRule="auto"/>
        <w:ind w:left="360"/>
        <w:rPr>
          <w:rFonts w:ascii="Calibri" w:eastAsia="Times New Roman" w:hAnsi="Calibri" w:cs="Calibri"/>
          <w:b/>
          <w:bCs/>
          <w:i/>
          <w:iCs/>
          <w:kern w:val="0"/>
          <w14:ligatures w14:val="none"/>
        </w:rPr>
      </w:pPr>
      <w:r w:rsidRPr="00F50D3F">
        <w:rPr>
          <w:rFonts w:ascii="Calibri" w:eastAsia="Times New Roman" w:hAnsi="Calibri" w:cs="Calibri"/>
          <w:b/>
          <w:bCs/>
          <w:kern w:val="0"/>
          <w14:ligatures w14:val="none"/>
        </w:rPr>
        <w:t>Overview and instructions for uploading to Moodle</w:t>
      </w:r>
      <w:r w:rsidRPr="00A65E0D">
        <w:rPr>
          <w:rFonts w:ascii="Calibri" w:eastAsia="Times New Roman" w:hAnsi="Calibri" w:cs="Calibri"/>
          <w:b/>
          <w:bCs/>
          <w:kern w:val="0"/>
          <w14:ligatures w14:val="none"/>
        </w:rPr>
        <w:t xml:space="preserve"> </w:t>
      </w:r>
      <w:r>
        <w:rPr>
          <w:rFonts w:ascii="Calibri" w:eastAsia="Times New Roman" w:hAnsi="Calibri" w:cs="Calibri"/>
          <w:b/>
          <w:bCs/>
          <w:kern w:val="0"/>
          <w:lang w:val="en-NZ"/>
          <w14:ligatures w14:val="none"/>
        </w:rPr>
        <w:t xml:space="preserve">the </w:t>
      </w:r>
      <w:r w:rsidR="00A65E0D" w:rsidRPr="00F50D3F">
        <w:rPr>
          <w:rFonts w:ascii="Calibri" w:eastAsia="Times New Roman" w:hAnsi="Calibri" w:cs="Calibri"/>
          <w:b/>
          <w:bCs/>
          <w:i/>
          <w:iCs/>
          <w:kern w:val="0"/>
          <w14:ligatures w14:val="none"/>
        </w:rPr>
        <w:t>Student Course Survey – Themes and Response</w:t>
      </w:r>
    </w:p>
    <w:p w14:paraId="4CA11B47" w14:textId="44A6B7F6" w:rsidR="00A65E0D" w:rsidRDefault="00A65E0D" w:rsidP="00A65E0D">
      <w:pPr>
        <w:spacing w:before="100" w:beforeAutospacing="1" w:after="100" w:afterAutospacing="1" w:line="240" w:lineRule="auto"/>
        <w:rPr>
          <w:rFonts w:ascii="Calibri" w:eastAsia="Times New Roman" w:hAnsi="Calibri" w:cs="Calibri"/>
          <w:kern w:val="0"/>
          <w:sz w:val="22"/>
          <w:szCs w:val="22"/>
          <w:lang w:val="en-NZ"/>
          <w14:ligatures w14:val="none"/>
        </w:rPr>
      </w:pPr>
      <w:r>
        <w:rPr>
          <w:rFonts w:ascii="Calibri" w:eastAsia="Times New Roman" w:hAnsi="Calibri" w:cs="Calibri"/>
          <w:kern w:val="0"/>
          <w:sz w:val="22"/>
          <w:szCs w:val="22"/>
          <w:lang w:val="en-NZ"/>
          <w14:ligatures w14:val="none"/>
        </w:rPr>
        <w:tab/>
      </w:r>
    </w:p>
    <w:p w14:paraId="41CC1028" w14:textId="43ED3407" w:rsidR="00A65E0D" w:rsidRDefault="00F50D3F" w:rsidP="00A65E0D">
      <w:pPr>
        <w:spacing w:before="100" w:beforeAutospacing="1" w:after="100" w:afterAutospacing="1" w:line="240" w:lineRule="auto"/>
        <w:rPr>
          <w:rFonts w:ascii="Calibri" w:eastAsia="Times New Roman" w:hAnsi="Calibri" w:cs="Calibri"/>
          <w:kern w:val="0"/>
          <w:sz w:val="22"/>
          <w:szCs w:val="22"/>
          <w:lang w:val="en-NZ"/>
          <w14:ligatures w14:val="none"/>
        </w:rPr>
      </w:pPr>
      <w:r>
        <w:rPr>
          <w:rFonts w:ascii="Calibri" w:eastAsia="Times New Roman" w:hAnsi="Calibri" w:cs="Calibri"/>
          <w:kern w:val="0"/>
          <w:sz w:val="22"/>
          <w:szCs w:val="22"/>
          <w:lang w:val="en-NZ"/>
          <w14:ligatures w14:val="none"/>
        </w:rPr>
        <w:t xml:space="preserve">The template for the </w:t>
      </w:r>
      <w:r w:rsidRPr="00F50D3F">
        <w:rPr>
          <w:rFonts w:ascii="Calibri" w:eastAsia="Times New Roman" w:hAnsi="Calibri" w:cs="Calibri"/>
          <w:i/>
          <w:iCs/>
          <w:kern w:val="0"/>
          <w:sz w:val="22"/>
          <w:szCs w:val="22"/>
          <w14:ligatures w14:val="none"/>
        </w:rPr>
        <w:t>Student Course Survey – Themes and Response</w:t>
      </w:r>
      <w:r>
        <w:rPr>
          <w:rFonts w:ascii="Calibri" w:eastAsia="Times New Roman" w:hAnsi="Calibri" w:cs="Calibri"/>
          <w:kern w:val="0"/>
          <w:sz w:val="22"/>
          <w:szCs w:val="22"/>
          <w:lang w:val="en-NZ"/>
          <w14:ligatures w14:val="none"/>
        </w:rPr>
        <w:t xml:space="preserve"> can be found on Te Aka | The Nest: </w:t>
      </w:r>
    </w:p>
    <w:p w14:paraId="3D31F2BA" w14:textId="51B6BEC7" w:rsidR="00F50D3F" w:rsidRDefault="00F50D3F" w:rsidP="00A65E0D">
      <w:pPr>
        <w:spacing w:before="100" w:beforeAutospacing="1" w:after="100" w:afterAutospacing="1" w:line="240" w:lineRule="auto"/>
        <w:rPr>
          <w:rFonts w:ascii="Calibri" w:eastAsia="Times New Roman" w:hAnsi="Calibri" w:cs="Calibri"/>
          <w:kern w:val="0"/>
          <w:sz w:val="22"/>
          <w:szCs w:val="22"/>
          <w:lang w:val="en-NZ"/>
          <w14:ligatures w14:val="none"/>
        </w:rPr>
      </w:pPr>
      <w:hyperlink r:id="rId5" w:history="1">
        <w:r w:rsidR="00D10707">
          <w:rPr>
            <w:rStyle w:val="Hyperlink"/>
            <w:rFonts w:ascii="Calibri" w:eastAsia="Times New Roman" w:hAnsi="Calibri" w:cs="Calibri"/>
            <w:kern w:val="0"/>
            <w:sz w:val="22"/>
            <w:szCs w:val="22"/>
            <w14:ligatures w14:val="none"/>
          </w:rPr>
          <w:t>Student Course Surveys on Te Aka | The Nest</w:t>
        </w:r>
      </w:hyperlink>
    </w:p>
    <w:p w14:paraId="12FFE773" w14:textId="77777777" w:rsidR="00F50D3F" w:rsidRPr="00F50D3F" w:rsidRDefault="00F50D3F" w:rsidP="00A65E0D">
      <w:pPr>
        <w:spacing w:before="100" w:beforeAutospacing="1" w:after="100" w:afterAutospacing="1" w:line="240" w:lineRule="auto"/>
        <w:rPr>
          <w:rFonts w:ascii="Calibri" w:eastAsia="Times New Roman" w:hAnsi="Calibri" w:cs="Calibri"/>
          <w:kern w:val="0"/>
          <w:sz w:val="22"/>
          <w:szCs w:val="22"/>
          <w:lang w:val="en-NZ"/>
          <w14:ligatures w14:val="none"/>
        </w:rPr>
      </w:pPr>
    </w:p>
    <w:p w14:paraId="2A9E2F02" w14:textId="68818A3C" w:rsidR="007F29F3" w:rsidRPr="00F50D3F" w:rsidRDefault="007F29F3" w:rsidP="00F50D3F">
      <w:pPr>
        <w:pStyle w:val="ListParagraph"/>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F50D3F">
        <w:rPr>
          <w:rFonts w:ascii="Calibri" w:eastAsia="Times New Roman" w:hAnsi="Calibri" w:cs="Calibri"/>
          <w:kern w:val="0"/>
          <w:sz w:val="22"/>
          <w:szCs w:val="22"/>
          <w14:ligatures w14:val="none"/>
        </w:rPr>
        <w:t>Identify the three most common themes to emerge from the course survey. </w:t>
      </w:r>
      <w:r w:rsidRPr="00F50D3F">
        <w:rPr>
          <w:rFonts w:ascii="Calibri" w:eastAsia="Times New Roman" w:hAnsi="Calibri" w:cs="Calibri"/>
          <w:kern w:val="0"/>
          <w:sz w:val="22"/>
          <w:szCs w:val="22"/>
          <w14:ligatures w14:val="none"/>
        </w:rPr>
        <w:br/>
        <w:t>These could be issues that need to be addressed, or positive features of a course that need to be maintained or perhaps given greater emphasis. </w:t>
      </w:r>
    </w:p>
    <w:p w14:paraId="1F59229D" w14:textId="77777777" w:rsidR="00F50D3F" w:rsidRPr="00F50D3F" w:rsidRDefault="00F50D3F" w:rsidP="00F50D3F">
      <w:pPr>
        <w:pStyle w:val="ListParagraph"/>
        <w:spacing w:before="100" w:beforeAutospacing="1" w:after="100" w:afterAutospacing="1" w:line="240" w:lineRule="auto"/>
        <w:ind w:left="360"/>
        <w:rPr>
          <w:rFonts w:ascii="Calibri" w:eastAsia="Times New Roman" w:hAnsi="Calibri" w:cs="Calibri"/>
          <w:kern w:val="0"/>
          <w:sz w:val="22"/>
          <w:szCs w:val="22"/>
          <w14:ligatures w14:val="none"/>
        </w:rPr>
      </w:pPr>
    </w:p>
    <w:p w14:paraId="117E183A" w14:textId="7D04F101" w:rsidR="007F29F3" w:rsidRPr="00F50D3F" w:rsidRDefault="007F29F3" w:rsidP="00F50D3F">
      <w:pPr>
        <w:pStyle w:val="ListParagraph"/>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F50D3F">
        <w:rPr>
          <w:rFonts w:ascii="Calibri" w:eastAsia="Times New Roman" w:hAnsi="Calibri" w:cs="Calibri"/>
          <w:kern w:val="0"/>
          <w:sz w:val="22"/>
          <w:szCs w:val="22"/>
          <w14:ligatures w14:val="none"/>
        </w:rPr>
        <w:t xml:space="preserve">In the ‘Response’ sections, describe how you have addressed the three themes. </w:t>
      </w:r>
    </w:p>
    <w:p w14:paraId="23511C5D" w14:textId="77777777" w:rsidR="00F50D3F" w:rsidRPr="00F50D3F" w:rsidRDefault="00F50D3F" w:rsidP="00F50D3F">
      <w:pPr>
        <w:pStyle w:val="ListParagraph"/>
        <w:spacing w:before="100" w:beforeAutospacing="1" w:after="100" w:afterAutospacing="1" w:line="240" w:lineRule="auto"/>
        <w:ind w:left="360"/>
        <w:rPr>
          <w:rFonts w:ascii="Calibri" w:eastAsia="Times New Roman" w:hAnsi="Calibri" w:cs="Calibri"/>
          <w:kern w:val="0"/>
          <w:sz w:val="22"/>
          <w:szCs w:val="22"/>
          <w14:ligatures w14:val="none"/>
        </w:rPr>
      </w:pPr>
    </w:p>
    <w:p w14:paraId="2D742667" w14:textId="3991A419" w:rsidR="007F29F3" w:rsidRPr="00F50D3F" w:rsidRDefault="007F29F3" w:rsidP="00F50D3F">
      <w:pPr>
        <w:pStyle w:val="ListParagraph"/>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F50D3F">
        <w:rPr>
          <w:rFonts w:ascii="Calibri" w:eastAsia="Times New Roman" w:hAnsi="Calibri" w:cs="Calibri"/>
          <w:kern w:val="0"/>
          <w:sz w:val="22"/>
          <w:szCs w:val="22"/>
          <w14:ligatures w14:val="none"/>
        </w:rPr>
        <w:t>Upload the completed </w:t>
      </w:r>
      <w:r w:rsidRPr="00F50D3F">
        <w:rPr>
          <w:rFonts w:ascii="Calibri" w:eastAsia="Times New Roman" w:hAnsi="Calibri" w:cs="Calibri"/>
          <w:i/>
          <w:iCs/>
          <w:kern w:val="0"/>
          <w:sz w:val="22"/>
          <w:szCs w:val="22"/>
          <w14:ligatures w14:val="none"/>
        </w:rPr>
        <w:t>Student Course Survey – Themes and Response</w:t>
      </w:r>
      <w:r w:rsidRPr="00F50D3F">
        <w:rPr>
          <w:rFonts w:ascii="Calibri" w:eastAsia="Times New Roman" w:hAnsi="Calibri" w:cs="Calibri"/>
          <w:kern w:val="0"/>
          <w:sz w:val="22"/>
          <w:szCs w:val="22"/>
          <w14:ligatures w14:val="none"/>
        </w:rPr>
        <w:t xml:space="preserve"> to the 'Feedback' section in Moodle, under the heading 'You Said, We Did'.  </w:t>
      </w:r>
    </w:p>
    <w:p w14:paraId="52799AE5" w14:textId="77777777" w:rsidR="00F50D3F" w:rsidRPr="00F50D3F" w:rsidRDefault="00F50D3F" w:rsidP="00F50D3F">
      <w:pPr>
        <w:pStyle w:val="ListParagraph"/>
        <w:spacing w:before="100" w:beforeAutospacing="1" w:after="100" w:afterAutospacing="1" w:line="240" w:lineRule="auto"/>
        <w:ind w:left="360"/>
        <w:rPr>
          <w:rFonts w:ascii="Calibri" w:eastAsia="Times New Roman" w:hAnsi="Calibri" w:cs="Calibri"/>
          <w:kern w:val="0"/>
          <w:sz w:val="22"/>
          <w:szCs w:val="22"/>
          <w14:ligatures w14:val="none"/>
        </w:rPr>
      </w:pPr>
    </w:p>
    <w:p w14:paraId="5BF1F786" w14:textId="4539B8F6" w:rsidR="007F29F3" w:rsidRPr="00F50D3F" w:rsidRDefault="007F29F3" w:rsidP="00F50D3F">
      <w:pPr>
        <w:pStyle w:val="ListParagraph"/>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F50D3F">
        <w:rPr>
          <w:rFonts w:ascii="Calibri" w:eastAsia="Times New Roman" w:hAnsi="Calibri" w:cs="Calibri"/>
          <w:kern w:val="0"/>
          <w:sz w:val="22"/>
          <w:szCs w:val="22"/>
          <w14:ligatures w14:val="none"/>
        </w:rPr>
        <w:t>Make the plan available in Week 1 or 2 of the new course and go through it in class, so students are clear about what has been done in response to course feedback. This is important because ākonga will see the value in completing course evaluations, and it will also give them an opportunity to ask questions.</w:t>
      </w:r>
    </w:p>
    <w:p w14:paraId="23BF530D" w14:textId="1E3821C1" w:rsidR="007F29F3" w:rsidRPr="00F50D3F" w:rsidRDefault="007F29F3" w:rsidP="00F50D3F">
      <w:pPr>
        <w:spacing w:before="100" w:beforeAutospacing="1" w:after="100" w:afterAutospacing="1" w:line="240" w:lineRule="auto"/>
        <w:rPr>
          <w:rFonts w:ascii="Calibri" w:eastAsia="Times New Roman" w:hAnsi="Calibri" w:cs="Calibri"/>
          <w:kern w:val="0"/>
          <w:sz w:val="22"/>
          <w:szCs w:val="22"/>
          <w14:ligatures w14:val="none"/>
        </w:rPr>
      </w:pPr>
      <w:r w:rsidRPr="00F50D3F">
        <w:rPr>
          <w:rFonts w:ascii="Calibri" w:eastAsia="Times New Roman" w:hAnsi="Calibri" w:cs="Calibri"/>
          <w:kern w:val="0"/>
          <w:sz w:val="22"/>
          <w:szCs w:val="22"/>
          <w14:ligatures w14:val="none"/>
        </w:rPr>
        <w:t xml:space="preserve">Please note, if you do not receive a Student Course Survey report, you still need to complete the </w:t>
      </w:r>
      <w:r w:rsidRPr="00F50D3F">
        <w:rPr>
          <w:rFonts w:ascii="Calibri" w:eastAsia="Times New Roman" w:hAnsi="Calibri" w:cs="Calibri"/>
          <w:i/>
          <w:iCs/>
          <w:kern w:val="0"/>
          <w:sz w:val="22"/>
          <w:szCs w:val="22"/>
          <w14:ligatures w14:val="none"/>
        </w:rPr>
        <w:t xml:space="preserve">Student Course Survey – Themes and Response template. </w:t>
      </w:r>
      <w:r w:rsidRPr="00F50D3F">
        <w:rPr>
          <w:rFonts w:ascii="Calibri" w:eastAsia="Times New Roman" w:hAnsi="Calibri" w:cs="Calibri"/>
          <w:kern w:val="0"/>
          <w:sz w:val="22"/>
          <w:szCs w:val="22"/>
          <w14:ligatures w14:val="none"/>
        </w:rPr>
        <w:t xml:space="preserve">The </w:t>
      </w:r>
      <w:r w:rsidRPr="00F50D3F">
        <w:rPr>
          <w:rFonts w:ascii="Calibri" w:eastAsia="Times New Roman" w:hAnsi="Calibri" w:cs="Calibri"/>
          <w:i/>
          <w:iCs/>
          <w:kern w:val="0"/>
          <w:sz w:val="22"/>
          <w:szCs w:val="22"/>
          <w14:ligatures w14:val="none"/>
        </w:rPr>
        <w:t>Theme</w:t>
      </w:r>
      <w:r w:rsidRPr="00F50D3F">
        <w:rPr>
          <w:rFonts w:ascii="Calibri" w:eastAsia="Times New Roman" w:hAnsi="Calibri" w:cs="Calibri"/>
          <w:kern w:val="0"/>
          <w:sz w:val="22"/>
          <w:szCs w:val="22"/>
          <w14:ligatures w14:val="none"/>
        </w:rPr>
        <w:t xml:space="preserve"> will be “</w:t>
      </w:r>
      <w:r w:rsidRPr="00F50D3F">
        <w:rPr>
          <w:rFonts w:ascii="Calibri" w:eastAsia="Times New Roman" w:hAnsi="Calibri" w:cs="Calibri"/>
          <w:i/>
          <w:iCs/>
          <w:kern w:val="0"/>
          <w:sz w:val="22"/>
          <w:szCs w:val="22"/>
          <w14:ligatures w14:val="none"/>
        </w:rPr>
        <w:t>Survey response rates too low for robust data”</w:t>
      </w:r>
      <w:r w:rsidRPr="00F50D3F">
        <w:rPr>
          <w:rFonts w:ascii="Calibri" w:eastAsia="Times New Roman" w:hAnsi="Calibri" w:cs="Calibri"/>
          <w:kern w:val="0"/>
          <w:sz w:val="22"/>
          <w:szCs w:val="22"/>
          <w14:ligatures w14:val="none"/>
        </w:rPr>
        <w:t xml:space="preserve"> and the </w:t>
      </w:r>
      <w:r w:rsidRPr="00F50D3F">
        <w:rPr>
          <w:rFonts w:ascii="Calibri" w:eastAsia="Times New Roman" w:hAnsi="Calibri" w:cs="Calibri"/>
          <w:i/>
          <w:iCs/>
          <w:kern w:val="0"/>
          <w:sz w:val="22"/>
          <w:szCs w:val="22"/>
          <w14:ligatures w14:val="none"/>
        </w:rPr>
        <w:t>Response</w:t>
      </w:r>
      <w:r w:rsidRPr="00F50D3F">
        <w:rPr>
          <w:rFonts w:ascii="Calibri" w:eastAsia="Times New Roman" w:hAnsi="Calibri" w:cs="Calibri"/>
          <w:kern w:val="0"/>
          <w:sz w:val="22"/>
          <w:szCs w:val="22"/>
          <w14:ligatures w14:val="none"/>
        </w:rPr>
        <w:t xml:space="preserve"> will be whatever the plan is to increase the response rates within your course.</w:t>
      </w:r>
    </w:p>
    <w:p w14:paraId="10996752" w14:textId="77777777" w:rsidR="00F50D3F" w:rsidRDefault="00F50D3F" w:rsidP="007F29F3">
      <w:pPr>
        <w:spacing w:before="100" w:beforeAutospacing="1" w:after="100" w:afterAutospacing="1" w:line="240" w:lineRule="auto"/>
        <w:outlineLvl w:val="4"/>
        <w:rPr>
          <w:rFonts w:ascii="Calibri" w:eastAsia="Times New Roman" w:hAnsi="Calibri" w:cs="Calibri"/>
          <w:b/>
          <w:bCs/>
          <w:kern w:val="0"/>
          <w:sz w:val="22"/>
          <w:szCs w:val="22"/>
          <w:lang w:val="en-NZ"/>
          <w14:ligatures w14:val="none"/>
        </w:rPr>
      </w:pPr>
    </w:p>
    <w:p w14:paraId="29C7A4FA" w14:textId="3F018B2F" w:rsidR="007F29F3" w:rsidRPr="00F50D3F" w:rsidRDefault="007F29F3" w:rsidP="007F29F3">
      <w:pPr>
        <w:spacing w:before="100" w:beforeAutospacing="1" w:after="100" w:afterAutospacing="1" w:line="240" w:lineRule="auto"/>
        <w:outlineLvl w:val="4"/>
        <w:rPr>
          <w:rFonts w:ascii="Calibri" w:eastAsia="Times New Roman" w:hAnsi="Calibri" w:cs="Calibri"/>
          <w:b/>
          <w:bCs/>
          <w:kern w:val="0"/>
          <w:sz w:val="22"/>
          <w:szCs w:val="22"/>
          <w:lang w:val="en-NZ"/>
          <w14:ligatures w14:val="none"/>
        </w:rPr>
      </w:pPr>
      <w:r w:rsidRPr="00A65E0D">
        <w:rPr>
          <w:rFonts w:ascii="Calibri" w:eastAsia="Times New Roman" w:hAnsi="Calibri" w:cs="Calibri"/>
          <w:b/>
          <w:bCs/>
          <w:kern w:val="0"/>
          <w:sz w:val="22"/>
          <w:szCs w:val="22"/>
          <w14:ligatures w14:val="none"/>
        </w:rPr>
        <w:t xml:space="preserve">How to organize the </w:t>
      </w:r>
      <w:r w:rsidR="0015458B" w:rsidRPr="00F50D3F">
        <w:rPr>
          <w:rFonts w:ascii="Calibri" w:eastAsia="Times New Roman" w:hAnsi="Calibri" w:cs="Calibri"/>
          <w:b/>
          <w:bCs/>
          <w:i/>
          <w:iCs/>
          <w:kern w:val="0"/>
          <w:sz w:val="22"/>
          <w:szCs w:val="22"/>
          <w14:ligatures w14:val="none"/>
        </w:rPr>
        <w:t xml:space="preserve">Student Course Survey: </w:t>
      </w:r>
      <w:r w:rsidRPr="00F50D3F">
        <w:rPr>
          <w:rFonts w:ascii="Calibri" w:eastAsia="Times New Roman" w:hAnsi="Calibri" w:cs="Calibri"/>
          <w:b/>
          <w:bCs/>
          <w:i/>
          <w:iCs/>
          <w:kern w:val="0"/>
          <w:sz w:val="22"/>
          <w:szCs w:val="22"/>
          <w14:ligatures w14:val="none"/>
        </w:rPr>
        <w:t>Themes and Response</w:t>
      </w:r>
      <w:r w:rsidRPr="00A65E0D">
        <w:rPr>
          <w:rFonts w:ascii="Calibri" w:eastAsia="Times New Roman" w:hAnsi="Calibri" w:cs="Calibri"/>
          <w:b/>
          <w:bCs/>
          <w:kern w:val="0"/>
          <w:sz w:val="22"/>
          <w:szCs w:val="22"/>
          <w14:ligatures w14:val="none"/>
        </w:rPr>
        <w:t xml:space="preserve"> documents in your course</w:t>
      </w:r>
      <w:r w:rsidR="00F50D3F">
        <w:rPr>
          <w:rFonts w:ascii="Calibri" w:eastAsia="Times New Roman" w:hAnsi="Calibri" w:cs="Calibri"/>
          <w:b/>
          <w:bCs/>
          <w:kern w:val="0"/>
          <w:sz w:val="22"/>
          <w:szCs w:val="22"/>
          <w:lang w:val="en-NZ"/>
          <w14:ligatures w14:val="none"/>
        </w:rPr>
        <w:t xml:space="preserve"> (on the Feedback page)</w:t>
      </w:r>
    </w:p>
    <w:p w14:paraId="01A27EC3" w14:textId="77777777" w:rsidR="007F29F3" w:rsidRPr="00A65E0D" w:rsidRDefault="007F29F3" w:rsidP="007F29F3">
      <w:pPr>
        <w:spacing w:before="100" w:beforeAutospacing="1" w:after="100" w:afterAutospacing="1" w:line="240" w:lineRule="auto"/>
        <w:outlineLvl w:val="4"/>
        <w:rPr>
          <w:rFonts w:ascii="Calibri" w:eastAsia="Times New Roman" w:hAnsi="Calibri" w:cs="Calibri"/>
          <w:b/>
          <w:bCs/>
          <w:kern w:val="0"/>
          <w:sz w:val="22"/>
          <w:szCs w:val="22"/>
          <w14:ligatures w14:val="none"/>
        </w:rPr>
      </w:pPr>
      <w:r w:rsidRPr="00A65E0D">
        <w:rPr>
          <w:rFonts w:ascii="Calibri" w:eastAsia="Times New Roman" w:hAnsi="Calibri" w:cs="Calibri"/>
          <w:kern w:val="0"/>
          <w:sz w:val="22"/>
          <w:szCs w:val="22"/>
          <w14:ligatures w14:val="none"/>
        </w:rPr>
        <w:t>In the example below, a S1 2026 course contains one current and two previous Themes and Response documents. All three courses are available to the current (S1 2026) cohort of students. </w:t>
      </w:r>
    </w:p>
    <w:p w14:paraId="51E5A786" w14:textId="77777777" w:rsidR="007F29F3" w:rsidRPr="00A65E0D" w:rsidRDefault="007F29F3" w:rsidP="007F29F3">
      <w:pPr>
        <w:spacing w:before="100" w:beforeAutospacing="1" w:after="100" w:afterAutospacing="1" w:line="240" w:lineRule="auto"/>
        <w:outlineLvl w:val="4"/>
        <w:rPr>
          <w:rFonts w:ascii="Calibri" w:eastAsia="Times New Roman" w:hAnsi="Calibri" w:cs="Calibri"/>
          <w:b/>
          <w:bCs/>
          <w:kern w:val="0"/>
          <w:sz w:val="22"/>
          <w:szCs w:val="22"/>
          <w14:ligatures w14:val="none"/>
        </w:rPr>
      </w:pPr>
      <w:r w:rsidRPr="00A65E0D">
        <w:rPr>
          <w:rFonts w:ascii="Calibri" w:eastAsia="Times New Roman" w:hAnsi="Calibri" w:cs="Calibri"/>
          <w:kern w:val="0"/>
          <w:sz w:val="22"/>
          <w:szCs w:val="22"/>
          <w14:ligatures w14:val="none"/>
        </w:rPr>
        <w:t>They are organized under appropriate headings, with documents from previous semesters in reverse chronological order, so that students can quickly identify the themes that emerged from the most recent deliveries, and whether these have been been addressed. </w:t>
      </w:r>
    </w:p>
    <w:p w14:paraId="7258B1B8" w14:textId="77777777" w:rsidR="007F29F3" w:rsidRDefault="007F29F3" w:rsidP="007F29F3">
      <w:pPr>
        <w:spacing w:before="100" w:beforeAutospacing="1" w:after="100" w:afterAutospacing="1" w:line="240" w:lineRule="auto"/>
        <w:outlineLvl w:val="4"/>
        <w:rPr>
          <w:rFonts w:ascii="Calibri" w:eastAsia="Times New Roman" w:hAnsi="Calibri" w:cs="Calibri"/>
          <w:kern w:val="0"/>
          <w:sz w:val="22"/>
          <w:szCs w:val="22"/>
          <w:lang w:val="en-NZ"/>
          <w14:ligatures w14:val="none"/>
        </w:rPr>
      </w:pPr>
      <w:r w:rsidRPr="00A65E0D">
        <w:rPr>
          <w:rFonts w:ascii="Calibri" w:eastAsia="Times New Roman" w:hAnsi="Calibri" w:cs="Calibri"/>
          <w:kern w:val="0"/>
          <w:sz w:val="22"/>
          <w:szCs w:val="22"/>
          <w14:ligatures w14:val="none"/>
        </w:rPr>
        <w:t>This is what the Themes and Response documents would look like in two different Moodle formats ('One Topic' and 'Tiles').</w:t>
      </w:r>
    </w:p>
    <w:p w14:paraId="3713CE4D" w14:textId="77777777" w:rsidR="00F50D3F" w:rsidRPr="00F50D3F" w:rsidRDefault="00F50D3F" w:rsidP="007F29F3">
      <w:pPr>
        <w:spacing w:before="100" w:beforeAutospacing="1" w:after="100" w:afterAutospacing="1" w:line="240" w:lineRule="auto"/>
        <w:outlineLvl w:val="4"/>
        <w:rPr>
          <w:rFonts w:ascii="Calibri" w:eastAsia="Times New Roman" w:hAnsi="Calibri" w:cs="Calibri"/>
          <w:b/>
          <w:bCs/>
          <w:kern w:val="0"/>
          <w:sz w:val="22"/>
          <w:szCs w:val="22"/>
          <w:lang w:val="en-NZ"/>
          <w14:ligatures w14:val="none"/>
        </w:rPr>
      </w:pPr>
    </w:p>
    <w:p w14:paraId="5ACBAEF7" w14:textId="559BFA1D" w:rsidR="0015458B" w:rsidRPr="00A65E0D" w:rsidRDefault="0015458B">
      <w:pPr>
        <w:rPr>
          <w:rFonts w:ascii="Calibri" w:hAnsi="Calibri" w:cs="Calibri"/>
          <w:b/>
          <w:bCs/>
          <w:sz w:val="22"/>
          <w:szCs w:val="22"/>
        </w:rPr>
      </w:pPr>
      <w:r w:rsidRPr="00A65E0D">
        <w:rPr>
          <w:rFonts w:ascii="Calibri" w:hAnsi="Calibri" w:cs="Calibri"/>
          <w:b/>
          <w:bCs/>
          <w:sz w:val="22"/>
          <w:szCs w:val="22"/>
        </w:rPr>
        <w:lastRenderedPageBreak/>
        <w:t>In 'One Topic' (tabs)</w:t>
      </w:r>
    </w:p>
    <w:p w14:paraId="00F66156" w14:textId="5BD706B2" w:rsidR="0015458B" w:rsidRPr="00A65E0D" w:rsidRDefault="0015458B">
      <w:pPr>
        <w:rPr>
          <w:rFonts w:ascii="Calibri" w:hAnsi="Calibri" w:cs="Calibri"/>
          <w:b/>
          <w:bCs/>
          <w:sz w:val="22"/>
          <w:szCs w:val="22"/>
        </w:rPr>
      </w:pPr>
      <w:r w:rsidRPr="00A65E0D">
        <w:rPr>
          <w:rFonts w:ascii="Calibri" w:hAnsi="Calibri" w:cs="Calibri"/>
          <w:b/>
          <w:bCs/>
          <w:noProof/>
          <w:sz w:val="22"/>
          <w:szCs w:val="22"/>
        </w:rPr>
        <w:drawing>
          <wp:inline distT="0" distB="0" distL="0" distR="0" wp14:anchorId="0ACEE260" wp14:editId="44052BAE">
            <wp:extent cx="4101353" cy="2424699"/>
            <wp:effectExtent l="0" t="0" r="1270" b="1270"/>
            <wp:docPr id="2048925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25928" name="Picture 2048925928"/>
                    <pic:cNvPicPr/>
                  </pic:nvPicPr>
                  <pic:blipFill>
                    <a:blip r:embed="rId6">
                      <a:extLst>
                        <a:ext uri="{28A0092B-C50C-407E-A947-70E740481C1C}">
                          <a14:useLocalDpi xmlns:a14="http://schemas.microsoft.com/office/drawing/2010/main" val="0"/>
                        </a:ext>
                      </a:extLst>
                    </a:blip>
                    <a:stretch>
                      <a:fillRect/>
                    </a:stretch>
                  </pic:blipFill>
                  <pic:spPr>
                    <a:xfrm>
                      <a:off x="0" y="0"/>
                      <a:ext cx="4101353" cy="2424699"/>
                    </a:xfrm>
                    <a:prstGeom prst="rect">
                      <a:avLst/>
                    </a:prstGeom>
                  </pic:spPr>
                </pic:pic>
              </a:graphicData>
            </a:graphic>
          </wp:inline>
        </w:drawing>
      </w:r>
    </w:p>
    <w:p w14:paraId="416A68C3" w14:textId="32FA4854" w:rsidR="0015458B" w:rsidRPr="00A65E0D" w:rsidRDefault="0015458B">
      <w:pPr>
        <w:rPr>
          <w:rFonts w:ascii="Calibri" w:hAnsi="Calibri" w:cs="Calibri"/>
          <w:b/>
          <w:bCs/>
          <w:sz w:val="22"/>
          <w:szCs w:val="22"/>
        </w:rPr>
      </w:pPr>
      <w:r w:rsidRPr="00A65E0D">
        <w:rPr>
          <w:rFonts w:ascii="Calibri" w:hAnsi="Calibri" w:cs="Calibri"/>
          <w:b/>
          <w:bCs/>
          <w:sz w:val="22"/>
          <w:szCs w:val="22"/>
        </w:rPr>
        <w:t>In 'Tiles'</w:t>
      </w:r>
    </w:p>
    <w:p w14:paraId="3D15A3DF" w14:textId="1A301BCE" w:rsidR="0015458B" w:rsidRPr="00A65E0D" w:rsidRDefault="0015458B">
      <w:pPr>
        <w:rPr>
          <w:rFonts w:ascii="Calibri" w:hAnsi="Calibri" w:cs="Calibri"/>
          <w:b/>
          <w:bCs/>
          <w:sz w:val="22"/>
          <w:szCs w:val="22"/>
        </w:rPr>
      </w:pPr>
      <w:r w:rsidRPr="00A65E0D">
        <w:rPr>
          <w:rFonts w:ascii="Calibri" w:hAnsi="Calibri" w:cs="Calibri"/>
          <w:b/>
          <w:bCs/>
          <w:noProof/>
          <w:sz w:val="22"/>
          <w:szCs w:val="22"/>
        </w:rPr>
        <w:drawing>
          <wp:inline distT="0" distB="0" distL="0" distR="0" wp14:anchorId="42A77E62" wp14:editId="1C137600">
            <wp:extent cx="3953371" cy="3879476"/>
            <wp:effectExtent l="0" t="0" r="0" b="0"/>
            <wp:docPr id="15884683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68302" name="Picture 1588468302"/>
                    <pic:cNvPicPr/>
                  </pic:nvPicPr>
                  <pic:blipFill>
                    <a:blip r:embed="rId7">
                      <a:extLst>
                        <a:ext uri="{28A0092B-C50C-407E-A947-70E740481C1C}">
                          <a14:useLocalDpi xmlns:a14="http://schemas.microsoft.com/office/drawing/2010/main" val="0"/>
                        </a:ext>
                      </a:extLst>
                    </a:blip>
                    <a:stretch>
                      <a:fillRect/>
                    </a:stretch>
                  </pic:blipFill>
                  <pic:spPr>
                    <a:xfrm>
                      <a:off x="0" y="0"/>
                      <a:ext cx="3963719" cy="3889631"/>
                    </a:xfrm>
                    <a:prstGeom prst="rect">
                      <a:avLst/>
                    </a:prstGeom>
                  </pic:spPr>
                </pic:pic>
              </a:graphicData>
            </a:graphic>
          </wp:inline>
        </w:drawing>
      </w:r>
    </w:p>
    <w:p w14:paraId="4775603D" w14:textId="77777777" w:rsidR="0015458B" w:rsidRPr="00A65E0D" w:rsidRDefault="0015458B">
      <w:pPr>
        <w:rPr>
          <w:rFonts w:ascii="Calibri" w:hAnsi="Calibri" w:cs="Calibri"/>
          <w:b/>
          <w:bCs/>
          <w:sz w:val="22"/>
          <w:szCs w:val="22"/>
        </w:rPr>
      </w:pPr>
    </w:p>
    <w:sectPr w:rsidR="0015458B" w:rsidRPr="00A65E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A98"/>
    <w:multiLevelType w:val="hybridMultilevel"/>
    <w:tmpl w:val="C77A3538"/>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45C21BE"/>
    <w:multiLevelType w:val="hybridMultilevel"/>
    <w:tmpl w:val="67326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52DE6334"/>
    <w:multiLevelType w:val="multilevel"/>
    <w:tmpl w:val="0972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521645">
    <w:abstractNumId w:val="2"/>
  </w:num>
  <w:num w:numId="2" w16cid:durableId="1927567146">
    <w:abstractNumId w:val="1"/>
  </w:num>
  <w:num w:numId="3" w16cid:durableId="88109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F3"/>
    <w:rsid w:val="0015458B"/>
    <w:rsid w:val="007F29F3"/>
    <w:rsid w:val="00A65E0D"/>
    <w:rsid w:val="00D10707"/>
    <w:rsid w:val="00D65180"/>
    <w:rsid w:val="00DC0618"/>
    <w:rsid w:val="00EB0671"/>
    <w:rsid w:val="00ED4298"/>
    <w:rsid w:val="00F50D3F"/>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DC03"/>
  <w15:chartTrackingRefBased/>
  <w15:docId w15:val="{DC35A47F-F731-9C42-95DF-249F7766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F2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F2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9F3"/>
    <w:rPr>
      <w:rFonts w:eastAsiaTheme="majorEastAsia" w:cstheme="majorBidi"/>
      <w:color w:val="272727" w:themeColor="text1" w:themeTint="D8"/>
    </w:rPr>
  </w:style>
  <w:style w:type="paragraph" w:styleId="Title">
    <w:name w:val="Title"/>
    <w:basedOn w:val="Normal"/>
    <w:next w:val="Normal"/>
    <w:link w:val="TitleChar"/>
    <w:uiPriority w:val="10"/>
    <w:qFormat/>
    <w:rsid w:val="007F2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9F3"/>
    <w:pPr>
      <w:spacing w:before="160"/>
      <w:jc w:val="center"/>
    </w:pPr>
    <w:rPr>
      <w:i/>
      <w:iCs/>
      <w:color w:val="404040" w:themeColor="text1" w:themeTint="BF"/>
    </w:rPr>
  </w:style>
  <w:style w:type="character" w:customStyle="1" w:styleId="QuoteChar">
    <w:name w:val="Quote Char"/>
    <w:basedOn w:val="DefaultParagraphFont"/>
    <w:link w:val="Quote"/>
    <w:uiPriority w:val="29"/>
    <w:rsid w:val="007F29F3"/>
    <w:rPr>
      <w:i/>
      <w:iCs/>
      <w:color w:val="404040" w:themeColor="text1" w:themeTint="BF"/>
    </w:rPr>
  </w:style>
  <w:style w:type="paragraph" w:styleId="ListParagraph">
    <w:name w:val="List Paragraph"/>
    <w:basedOn w:val="Normal"/>
    <w:uiPriority w:val="34"/>
    <w:qFormat/>
    <w:rsid w:val="007F29F3"/>
    <w:pPr>
      <w:ind w:left="720"/>
      <w:contextualSpacing/>
    </w:pPr>
  </w:style>
  <w:style w:type="character" w:styleId="IntenseEmphasis">
    <w:name w:val="Intense Emphasis"/>
    <w:basedOn w:val="DefaultParagraphFont"/>
    <w:uiPriority w:val="21"/>
    <w:qFormat/>
    <w:rsid w:val="007F29F3"/>
    <w:rPr>
      <w:i/>
      <w:iCs/>
      <w:color w:val="0F4761" w:themeColor="accent1" w:themeShade="BF"/>
    </w:rPr>
  </w:style>
  <w:style w:type="paragraph" w:styleId="IntenseQuote">
    <w:name w:val="Intense Quote"/>
    <w:basedOn w:val="Normal"/>
    <w:next w:val="Normal"/>
    <w:link w:val="IntenseQuoteChar"/>
    <w:uiPriority w:val="30"/>
    <w:qFormat/>
    <w:rsid w:val="007F2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9F3"/>
    <w:rPr>
      <w:i/>
      <w:iCs/>
      <w:color w:val="0F4761" w:themeColor="accent1" w:themeShade="BF"/>
    </w:rPr>
  </w:style>
  <w:style w:type="character" w:styleId="IntenseReference">
    <w:name w:val="Intense Reference"/>
    <w:basedOn w:val="DefaultParagraphFont"/>
    <w:uiPriority w:val="32"/>
    <w:qFormat/>
    <w:rsid w:val="007F29F3"/>
    <w:rPr>
      <w:b/>
      <w:bCs/>
      <w:smallCaps/>
      <w:color w:val="0F4761" w:themeColor="accent1" w:themeShade="BF"/>
      <w:spacing w:val="5"/>
    </w:rPr>
  </w:style>
  <w:style w:type="character" w:styleId="Hyperlink">
    <w:name w:val="Hyperlink"/>
    <w:basedOn w:val="DefaultParagraphFont"/>
    <w:uiPriority w:val="99"/>
    <w:unhideWhenUsed/>
    <w:rsid w:val="007F29F3"/>
    <w:rPr>
      <w:color w:val="0000FF"/>
      <w:u w:val="single"/>
    </w:rPr>
  </w:style>
  <w:style w:type="character" w:styleId="Emphasis">
    <w:name w:val="Emphasis"/>
    <w:basedOn w:val="DefaultParagraphFont"/>
    <w:uiPriority w:val="20"/>
    <w:qFormat/>
    <w:rsid w:val="007F29F3"/>
    <w:rPr>
      <w:i/>
      <w:iCs/>
    </w:rPr>
  </w:style>
  <w:style w:type="character" w:styleId="UnresolvedMention">
    <w:name w:val="Unresolved Mention"/>
    <w:basedOn w:val="DefaultParagraphFont"/>
    <w:uiPriority w:val="99"/>
    <w:semiHidden/>
    <w:unhideWhenUsed/>
    <w:rsid w:val="00F5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henest.unitec.ac.nz/TheNestWP/teaching-and-research/te-korowai-kahurangi/unitec-reporting/student-course-survey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362</Words>
  <Characters>1806</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Norton</dc:creator>
  <cp:keywords/>
  <dc:description/>
  <cp:lastModifiedBy>Simon Tries</cp:lastModifiedBy>
  <cp:revision>3</cp:revision>
  <dcterms:created xsi:type="dcterms:W3CDTF">2025-11-20T18:34:00Z</dcterms:created>
  <dcterms:modified xsi:type="dcterms:W3CDTF">2025-11-20T18:35:00Z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5eedb-0807-4148-b3ff-92935f36a1c6_Enabled">
    <vt:lpwstr>true</vt:lpwstr>
  </property>
  <property fmtid="{D5CDD505-2E9C-101B-9397-08002B2CF9AE}" pid="3" name="MSIP_Label_2215eedb-0807-4148-b3ff-92935f36a1c6_SetDate">
    <vt:lpwstr>2025-11-20T00:22:41Z</vt:lpwstr>
  </property>
  <property fmtid="{D5CDD505-2E9C-101B-9397-08002B2CF9AE}" pid="4" name="MSIP_Label_2215eedb-0807-4148-b3ff-92935f36a1c6_Method">
    <vt:lpwstr>Privileged</vt:lpwstr>
  </property>
  <property fmtid="{D5CDD505-2E9C-101B-9397-08002B2CF9AE}" pid="5" name="MSIP_Label_2215eedb-0807-4148-b3ff-92935f36a1c6_Name">
    <vt:lpwstr>defa4170-0d19-0005-0002-bc88714345d2</vt:lpwstr>
  </property>
  <property fmtid="{D5CDD505-2E9C-101B-9397-08002B2CF9AE}" pid="6" name="MSIP_Label_2215eedb-0807-4148-b3ff-92935f36a1c6_SiteId">
    <vt:lpwstr>80f389b2-7380-4b67-b527-7f711a578130</vt:lpwstr>
  </property>
  <property fmtid="{D5CDD505-2E9C-101B-9397-08002B2CF9AE}" pid="7" name="MSIP_Label_2215eedb-0807-4148-b3ff-92935f36a1c6_ActionId">
    <vt:lpwstr>a394e6e7-6d3d-4352-a50c-4b7173f18d9d</vt:lpwstr>
  </property>
  <property fmtid="{D5CDD505-2E9C-101B-9397-08002B2CF9AE}" pid="8" name="MSIP_Label_2215eedb-0807-4148-b3ff-92935f36a1c6_ContentBits">
    <vt:lpwstr>0</vt:lpwstr>
  </property>
  <property fmtid="{D5CDD505-2E9C-101B-9397-08002B2CF9AE}" pid="9" name="MSIP_Label_2215eedb-0807-4148-b3ff-92935f36a1c6_Tag">
    <vt:lpwstr>50, 0, 1, 1</vt:lpwstr>
  </property>
</Properties>
</file>