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tblGrid>
      <w:tr w:rsidR="00477D8F" w14:paraId="6F761AFE" w14:textId="77777777" w:rsidTr="550088A0">
        <w:tc>
          <w:tcPr>
            <w:tcW w:w="9090" w:type="dxa"/>
          </w:tcPr>
          <w:p w14:paraId="6AD1033D" w14:textId="140AF19B" w:rsidR="00477D8F" w:rsidRDefault="004E662C" w:rsidP="00E876E5">
            <w:pPr>
              <w:jc w:val="both"/>
              <w:rPr>
                <w:b/>
                <w:bCs/>
              </w:rPr>
            </w:pPr>
            <w:r>
              <w:rPr>
                <w:b/>
                <w:bCs/>
                <w:noProof/>
              </w:rPr>
              <w:drawing>
                <wp:inline distT="0" distB="0" distL="0" distR="0" wp14:anchorId="02E387FA" wp14:editId="5D9AB005">
                  <wp:extent cx="5613400" cy="2432473"/>
                  <wp:effectExtent l="0" t="0" r="6350" b="6350"/>
                  <wp:docPr id="162288277" name="Picture 1" descr="A white background with red and green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8277" name="Picture 1" descr="A white background with red and green strip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636038" cy="2442283"/>
                          </a:xfrm>
                          <a:prstGeom prst="rect">
                            <a:avLst/>
                          </a:prstGeom>
                        </pic:spPr>
                      </pic:pic>
                    </a:graphicData>
                  </a:graphic>
                </wp:inline>
              </w:drawing>
            </w:r>
          </w:p>
        </w:tc>
      </w:tr>
      <w:tr w:rsidR="00477D8F" w14:paraId="28100113" w14:textId="77777777" w:rsidTr="550088A0">
        <w:tc>
          <w:tcPr>
            <w:tcW w:w="9090" w:type="dxa"/>
          </w:tcPr>
          <w:p w14:paraId="2456F8B6" w14:textId="77777777" w:rsidR="00477D8F" w:rsidRDefault="00477D8F" w:rsidP="00E876E5">
            <w:pPr>
              <w:jc w:val="both"/>
              <w:rPr>
                <w:b/>
                <w:bCs/>
              </w:rPr>
            </w:pPr>
          </w:p>
          <w:p w14:paraId="0A940DCE" w14:textId="77777777" w:rsidR="006C604C" w:rsidRDefault="006C604C" w:rsidP="006C604C">
            <w:pPr>
              <w:jc w:val="both"/>
              <w:rPr>
                <w:rFonts w:eastAsia="Calibri"/>
                <w:b/>
                <w:bCs/>
              </w:rPr>
            </w:pPr>
            <w:r>
              <w:rPr>
                <w:rFonts w:eastAsia="Calibri"/>
                <w:b/>
                <w:bCs/>
              </w:rPr>
              <w:t>Government announcement on MIT &amp; Unitec</w:t>
            </w:r>
          </w:p>
          <w:p w14:paraId="6CE2417E" w14:textId="77777777" w:rsidR="006C604C" w:rsidRDefault="006C604C" w:rsidP="006C604C">
            <w:pPr>
              <w:jc w:val="both"/>
              <w:rPr>
                <w:rFonts w:eastAsia="Calibri"/>
                <w:b/>
                <w:bCs/>
              </w:rPr>
            </w:pPr>
          </w:p>
          <w:p w14:paraId="3EF77EAD" w14:textId="77777777" w:rsidR="006C604C" w:rsidRDefault="006C604C" w:rsidP="006C604C">
            <w:pPr>
              <w:jc w:val="both"/>
              <w:rPr>
                <w:rFonts w:eastAsia="Calibri"/>
                <w:b/>
                <w:bCs/>
              </w:rPr>
            </w:pPr>
            <w:r>
              <w:rPr>
                <w:rFonts w:eastAsia="Calibri"/>
                <w:b/>
                <w:bCs/>
              </w:rPr>
              <w:t xml:space="preserve">Frequently Asked Questions for </w:t>
            </w:r>
            <w:proofErr w:type="spellStart"/>
            <w:r>
              <w:rPr>
                <w:rFonts w:eastAsia="Calibri"/>
                <w:b/>
                <w:bCs/>
              </w:rPr>
              <w:t>kaimahi</w:t>
            </w:r>
            <w:proofErr w:type="spellEnd"/>
            <w:r>
              <w:rPr>
                <w:rFonts w:eastAsia="Calibri"/>
                <w:b/>
                <w:bCs/>
              </w:rPr>
              <w:t xml:space="preserve"> </w:t>
            </w:r>
          </w:p>
          <w:p w14:paraId="37C38F16" w14:textId="77777777" w:rsidR="006C604C" w:rsidRDefault="006C604C" w:rsidP="006C604C">
            <w:pPr>
              <w:jc w:val="both"/>
              <w:rPr>
                <w:rFonts w:eastAsia="Calibri"/>
                <w:b/>
                <w:bCs/>
              </w:rPr>
            </w:pPr>
          </w:p>
          <w:p w14:paraId="64550978" w14:textId="77777777" w:rsidR="006C604C" w:rsidRPr="000F56F1" w:rsidRDefault="006C604C" w:rsidP="006C604C">
            <w:pPr>
              <w:jc w:val="both"/>
              <w:rPr>
                <w:rFonts w:eastAsia="Calibri"/>
                <w:b/>
                <w:bCs/>
              </w:rPr>
            </w:pPr>
            <w:r w:rsidRPr="000F56F1">
              <w:rPr>
                <w:rFonts w:eastAsia="Calibri"/>
                <w:b/>
                <w:bCs/>
              </w:rPr>
              <w:t xml:space="preserve">It’s important </w:t>
            </w:r>
            <w:proofErr w:type="spellStart"/>
            <w:r w:rsidRPr="000F56F1">
              <w:rPr>
                <w:rFonts w:eastAsia="Calibri"/>
                <w:b/>
                <w:bCs/>
              </w:rPr>
              <w:t>kaimahi</w:t>
            </w:r>
            <w:proofErr w:type="spellEnd"/>
            <w:r w:rsidRPr="000F56F1">
              <w:rPr>
                <w:rFonts w:eastAsia="Calibri"/>
                <w:b/>
                <w:bCs/>
              </w:rPr>
              <w:t xml:space="preserve"> have the information they need to understand what has been announced, what it means for them and </w:t>
            </w:r>
            <w:r>
              <w:rPr>
                <w:rFonts w:eastAsia="Calibri"/>
                <w:b/>
                <w:bCs/>
              </w:rPr>
              <w:t xml:space="preserve">get </w:t>
            </w:r>
            <w:r w:rsidRPr="000F56F1">
              <w:rPr>
                <w:rFonts w:eastAsia="Calibri"/>
                <w:b/>
                <w:bCs/>
              </w:rPr>
              <w:t xml:space="preserve">to ask questions. </w:t>
            </w:r>
          </w:p>
          <w:p w14:paraId="2D592F90" w14:textId="77777777" w:rsidR="006C604C" w:rsidRPr="000F56F1" w:rsidRDefault="006C604C" w:rsidP="006C604C">
            <w:pPr>
              <w:jc w:val="both"/>
              <w:rPr>
                <w:rFonts w:eastAsia="Calibri"/>
                <w:b/>
                <w:bCs/>
              </w:rPr>
            </w:pPr>
          </w:p>
          <w:p w14:paraId="51828187" w14:textId="3454161F" w:rsidR="006C604C" w:rsidRPr="000F56F1" w:rsidRDefault="006C604C" w:rsidP="006C604C">
            <w:pPr>
              <w:jc w:val="both"/>
              <w:rPr>
                <w:rFonts w:eastAsia="Calibri"/>
                <w:b/>
                <w:bCs/>
              </w:rPr>
            </w:pPr>
            <w:r w:rsidRPr="000F56F1">
              <w:rPr>
                <w:rFonts w:eastAsia="Calibri"/>
                <w:b/>
                <w:bCs/>
              </w:rPr>
              <w:t xml:space="preserve">This list will be updated as we move forward with transition. If you have a question you’d like to ask, please contact </w:t>
            </w:r>
            <w:r w:rsidR="00F31F2F">
              <w:rPr>
                <w:rFonts w:eastAsia="Calibri"/>
                <w:b/>
                <w:bCs/>
              </w:rPr>
              <w:t>communications@unitec.ac.nz</w:t>
            </w:r>
          </w:p>
          <w:p w14:paraId="16AFE632" w14:textId="77777777" w:rsidR="006C604C" w:rsidRDefault="006C604C" w:rsidP="006C604C">
            <w:pPr>
              <w:jc w:val="both"/>
              <w:rPr>
                <w:rFonts w:eastAsia="Calibri"/>
              </w:rPr>
            </w:pPr>
          </w:p>
          <w:p w14:paraId="751ED0F2" w14:textId="77777777" w:rsidR="006C604C" w:rsidRDefault="006C604C" w:rsidP="006C604C">
            <w:pPr>
              <w:jc w:val="both"/>
              <w:rPr>
                <w:b/>
                <w:bCs/>
              </w:rPr>
            </w:pPr>
            <w:r>
              <w:rPr>
                <w:b/>
                <w:bCs/>
              </w:rPr>
              <w:t>What has been announced?</w:t>
            </w:r>
          </w:p>
          <w:p w14:paraId="3A42CA60" w14:textId="77777777" w:rsidR="006C604C" w:rsidRDefault="006C604C" w:rsidP="006C604C">
            <w:pPr>
              <w:jc w:val="both"/>
              <w:rPr>
                <w:b/>
                <w:bCs/>
              </w:rPr>
            </w:pPr>
          </w:p>
          <w:p w14:paraId="2F5AA575" w14:textId="77777777" w:rsidR="006C604C" w:rsidRDefault="006C604C" w:rsidP="006C604C">
            <w:pPr>
              <w:jc w:val="both"/>
            </w:pPr>
            <w:r>
              <w:t xml:space="preserve">Minister for Vocational Education Hon. Penny Simmonds has announced our divisions will transition to a single independent legal entity, as of January 1, 2026. </w:t>
            </w:r>
          </w:p>
          <w:p w14:paraId="438A5883" w14:textId="77777777" w:rsidR="006C604C" w:rsidRPr="00314F75" w:rsidRDefault="006C604C" w:rsidP="006C604C">
            <w:pPr>
              <w:jc w:val="both"/>
            </w:pPr>
          </w:p>
          <w:p w14:paraId="2D727FB8" w14:textId="77777777" w:rsidR="006C604C" w:rsidRDefault="006C604C" w:rsidP="006C604C">
            <w:pPr>
              <w:jc w:val="both"/>
              <w:rPr>
                <w:b/>
                <w:bCs/>
              </w:rPr>
            </w:pPr>
            <w:r w:rsidRPr="005C41AE">
              <w:rPr>
                <w:b/>
                <w:bCs/>
              </w:rPr>
              <w:t>What does this mean?</w:t>
            </w:r>
          </w:p>
          <w:p w14:paraId="1C9A7F6D" w14:textId="77777777" w:rsidR="006C604C" w:rsidRPr="005C41AE" w:rsidRDefault="006C604C" w:rsidP="006C604C">
            <w:pPr>
              <w:jc w:val="both"/>
              <w:rPr>
                <w:b/>
                <w:bCs/>
              </w:rPr>
            </w:pPr>
          </w:p>
          <w:p w14:paraId="6E173A4F" w14:textId="77777777" w:rsidR="006C604C" w:rsidRDefault="006C604C" w:rsidP="006C604C">
            <w:pPr>
              <w:jc w:val="both"/>
            </w:pPr>
            <w:r>
              <w:t xml:space="preserve">It means MIT and Unitec, currently business divisions of Te Pūkenga, will exit the national network in the new year as a single independent legal entity for the delivery of on campus vocational education and training in Tāmaki Makaurau – Auckland. </w:t>
            </w:r>
          </w:p>
          <w:p w14:paraId="0C24CE01" w14:textId="77777777" w:rsidR="006C604C" w:rsidRDefault="006C604C" w:rsidP="006C604C">
            <w:pPr>
              <w:jc w:val="both"/>
            </w:pPr>
          </w:p>
          <w:p w14:paraId="7AFFC604" w14:textId="77777777" w:rsidR="006C604C" w:rsidRDefault="006C604C" w:rsidP="006C604C">
            <w:pPr>
              <w:rPr>
                <w:rFonts w:eastAsia="Calibri"/>
              </w:rPr>
            </w:pPr>
            <w:r w:rsidRPr="0FB88F05">
              <w:rPr>
                <w:rFonts w:eastAsia="Calibri"/>
              </w:rPr>
              <w:t>We have demonstrated a robust enough pathway to financial viability to satisfy the Government’s criteria for independence.</w:t>
            </w:r>
          </w:p>
          <w:p w14:paraId="415C767F" w14:textId="77777777" w:rsidR="006C604C" w:rsidRDefault="006C604C" w:rsidP="006C604C">
            <w:pPr>
              <w:rPr>
                <w:rFonts w:eastAsia="Calibri"/>
              </w:rPr>
            </w:pPr>
          </w:p>
          <w:p w14:paraId="133AC779" w14:textId="77777777" w:rsidR="006C604C" w:rsidRPr="007607DD" w:rsidRDefault="006C604C" w:rsidP="006C604C">
            <w:pPr>
              <w:jc w:val="both"/>
              <w:rPr>
                <w:rFonts w:eastAsia="Calibri"/>
                <w:b/>
                <w:bCs/>
                <w:lang w:val="en-US"/>
              </w:rPr>
            </w:pPr>
            <w:r w:rsidRPr="007607DD">
              <w:rPr>
                <w:rFonts w:eastAsia="Calibri"/>
                <w:b/>
                <w:bCs/>
                <w:lang w:val="en-US"/>
              </w:rPr>
              <w:t>What are the benefits of operating as a single entity?</w:t>
            </w:r>
          </w:p>
          <w:p w14:paraId="51031E8F" w14:textId="77777777" w:rsidR="006C604C" w:rsidRDefault="006C604C" w:rsidP="006C604C">
            <w:pPr>
              <w:jc w:val="both"/>
              <w:rPr>
                <w:rFonts w:eastAsia="Calibri"/>
                <w:lang w:val="en-US"/>
              </w:rPr>
            </w:pPr>
          </w:p>
          <w:p w14:paraId="7FB8373A" w14:textId="77777777" w:rsidR="006C604C" w:rsidRDefault="006C604C" w:rsidP="006C604C">
            <w:pPr>
              <w:jc w:val="both"/>
              <w:rPr>
                <w:rFonts w:eastAsia="Calibri"/>
                <w:lang w:val="en-US"/>
              </w:rPr>
            </w:pPr>
            <w:r>
              <w:rPr>
                <w:rFonts w:eastAsia="Calibri"/>
                <w:lang w:val="en-US"/>
              </w:rPr>
              <w:t xml:space="preserve">MIT and Unitec as a single entity will form a significant education provider not only in our city, but in the national context. </w:t>
            </w:r>
          </w:p>
          <w:p w14:paraId="592B9FC2" w14:textId="77777777" w:rsidR="006C604C" w:rsidRDefault="006C604C" w:rsidP="006C604C">
            <w:pPr>
              <w:jc w:val="both"/>
              <w:rPr>
                <w:rFonts w:eastAsia="Calibri"/>
                <w:lang w:val="en-US"/>
              </w:rPr>
            </w:pPr>
          </w:p>
          <w:p w14:paraId="799CC0B2" w14:textId="0855B89D" w:rsidR="006C604C" w:rsidRDefault="006C604C" w:rsidP="006C604C">
            <w:pPr>
              <w:jc w:val="both"/>
              <w:rPr>
                <w:rFonts w:eastAsia="Calibri"/>
                <w:lang w:val="en-US"/>
              </w:rPr>
            </w:pPr>
            <w:r>
              <w:rPr>
                <w:rFonts w:eastAsia="Calibri"/>
                <w:lang w:val="en-US"/>
              </w:rPr>
              <w:t xml:space="preserve">It affords us the scale and capability to allow vocational education to support </w:t>
            </w:r>
            <w:r w:rsidR="00A3412F">
              <w:rPr>
                <w:rFonts w:eastAsia="Calibri"/>
                <w:lang w:val="en-US"/>
              </w:rPr>
              <w:t xml:space="preserve">and grow </w:t>
            </w:r>
            <w:r>
              <w:rPr>
                <w:rFonts w:eastAsia="Calibri"/>
                <w:lang w:val="en-US"/>
              </w:rPr>
              <w:t xml:space="preserve">the people, businesses and services of the region. </w:t>
            </w:r>
          </w:p>
          <w:p w14:paraId="0D996A19" w14:textId="77777777" w:rsidR="006C604C" w:rsidRDefault="006C604C" w:rsidP="006C604C">
            <w:pPr>
              <w:jc w:val="both"/>
              <w:rPr>
                <w:rFonts w:eastAsia="Calibri"/>
                <w:lang w:val="en-US"/>
              </w:rPr>
            </w:pPr>
          </w:p>
          <w:p w14:paraId="5187F741" w14:textId="77777777" w:rsidR="006C604C" w:rsidRPr="000F56F1" w:rsidRDefault="006C604C" w:rsidP="006C604C">
            <w:r>
              <w:t>It gives us the opportunity to work</w:t>
            </w:r>
            <w:r w:rsidRPr="00145DEF">
              <w:t xml:space="preserve"> more closely with our partners to create a platform for delivering </w:t>
            </w:r>
            <w:r>
              <w:t>training</w:t>
            </w:r>
            <w:r w:rsidRPr="00145DEF">
              <w:t xml:space="preserve"> that is more responsive to </w:t>
            </w:r>
            <w:r>
              <w:t>local</w:t>
            </w:r>
            <w:r w:rsidRPr="00145DEF">
              <w:t xml:space="preserve"> needs, as well as providing greater accessibility for those across Tāmaki wishing to partner and use our services. </w:t>
            </w:r>
          </w:p>
          <w:p w14:paraId="68255EF7" w14:textId="77777777" w:rsidR="006C604C" w:rsidRDefault="006C604C" w:rsidP="006C604C">
            <w:pPr>
              <w:rPr>
                <w:rFonts w:eastAsia="Calibri"/>
              </w:rPr>
            </w:pPr>
          </w:p>
          <w:p w14:paraId="7CB90836" w14:textId="77777777" w:rsidR="006C604C" w:rsidRPr="00FB4847" w:rsidRDefault="006C604C" w:rsidP="006C604C">
            <w:pPr>
              <w:rPr>
                <w:rFonts w:eastAsia="Calibri"/>
                <w:b/>
                <w:bCs/>
              </w:rPr>
            </w:pPr>
            <w:r w:rsidRPr="00FB4847">
              <w:rPr>
                <w:rFonts w:eastAsia="Calibri"/>
                <w:b/>
                <w:bCs/>
              </w:rPr>
              <w:lastRenderedPageBreak/>
              <w:t xml:space="preserve">What are the benefits of </w:t>
            </w:r>
            <w:r>
              <w:rPr>
                <w:rFonts w:eastAsia="Calibri"/>
                <w:b/>
                <w:bCs/>
              </w:rPr>
              <w:t>being independent</w:t>
            </w:r>
            <w:r w:rsidRPr="00FB4847">
              <w:rPr>
                <w:rFonts w:eastAsia="Calibri"/>
                <w:b/>
                <w:bCs/>
              </w:rPr>
              <w:t>?</w:t>
            </w:r>
          </w:p>
          <w:p w14:paraId="617D01B1" w14:textId="77777777" w:rsidR="006C604C" w:rsidRDefault="006C604C" w:rsidP="006C604C">
            <w:pPr>
              <w:rPr>
                <w:rFonts w:eastAsia="Calibri"/>
              </w:rPr>
            </w:pPr>
          </w:p>
          <w:p w14:paraId="06C73B29" w14:textId="77777777" w:rsidR="00C57667" w:rsidRDefault="00C57667" w:rsidP="00C57667">
            <w:pPr>
              <w:rPr>
                <w:rFonts w:eastAsia="Calibri"/>
              </w:rPr>
            </w:pPr>
            <w:r>
              <w:rPr>
                <w:rFonts w:eastAsia="Calibri"/>
              </w:rPr>
              <w:t xml:space="preserve">It allows us to resume and enhance the important work our providers have been doing for more than fifty years, alongside our communities designing training solutions, pathways and support to meet their needs. </w:t>
            </w:r>
          </w:p>
          <w:p w14:paraId="6665CA05" w14:textId="77777777" w:rsidR="006C604C" w:rsidRDefault="006C604C" w:rsidP="006C604C">
            <w:pPr>
              <w:rPr>
                <w:rFonts w:eastAsia="Calibri"/>
              </w:rPr>
            </w:pPr>
          </w:p>
          <w:p w14:paraId="6A041FC5" w14:textId="77777777" w:rsidR="006C604C" w:rsidRDefault="006C604C" w:rsidP="006C604C">
            <w:pPr>
              <w:jc w:val="both"/>
              <w:rPr>
                <w:b/>
                <w:bCs/>
              </w:rPr>
            </w:pPr>
            <w:r w:rsidRPr="000B6152">
              <w:rPr>
                <w:b/>
                <w:bCs/>
              </w:rPr>
              <w:t xml:space="preserve">What </w:t>
            </w:r>
            <w:r>
              <w:rPr>
                <w:b/>
                <w:bCs/>
              </w:rPr>
              <w:t>do we need to do this year to prepare for transition to independence?</w:t>
            </w:r>
          </w:p>
          <w:p w14:paraId="3B43AF5E" w14:textId="77777777" w:rsidR="006C604C" w:rsidRDefault="006C604C" w:rsidP="006C604C">
            <w:pPr>
              <w:jc w:val="both"/>
              <w:rPr>
                <w:b/>
                <w:bCs/>
              </w:rPr>
            </w:pPr>
          </w:p>
          <w:p w14:paraId="2EAB8B15" w14:textId="77777777" w:rsidR="006C604C" w:rsidRDefault="006C604C" w:rsidP="006C604C">
            <w:pPr>
              <w:jc w:val="both"/>
            </w:pPr>
            <w:r w:rsidRPr="002D399C">
              <w:t xml:space="preserve">On this side of the new year, our </w:t>
            </w:r>
            <w:proofErr w:type="gramStart"/>
            <w:r w:rsidRPr="002D399C">
              <w:t>main focus</w:t>
            </w:r>
            <w:proofErr w:type="gramEnd"/>
            <w:r w:rsidRPr="002D399C">
              <w:t xml:space="preserve"> will be on </w:t>
            </w:r>
            <w:r>
              <w:t xml:space="preserve">supporting the implementation of </w:t>
            </w:r>
            <w:r w:rsidRPr="002D399C">
              <w:t>the fundamental legal and operational requirements necessary to achieve transition.</w:t>
            </w:r>
          </w:p>
          <w:p w14:paraId="0603679E" w14:textId="77777777" w:rsidR="006C604C" w:rsidRPr="002D399C" w:rsidRDefault="006C604C" w:rsidP="006C604C">
            <w:pPr>
              <w:jc w:val="both"/>
            </w:pPr>
          </w:p>
          <w:p w14:paraId="4BAADAB6" w14:textId="77777777" w:rsidR="006C604C" w:rsidRDefault="006C604C" w:rsidP="006C604C">
            <w:pPr>
              <w:jc w:val="both"/>
            </w:pPr>
            <w:r>
              <w:t xml:space="preserve">Our transition to the single entity requires a Transition Plan consulted on with NZQA and approved by Tertiary Education Commission’s Board. </w:t>
            </w:r>
          </w:p>
          <w:p w14:paraId="74954870" w14:textId="77777777" w:rsidR="006C604C" w:rsidRDefault="006C604C" w:rsidP="006C604C">
            <w:pPr>
              <w:jc w:val="both"/>
            </w:pPr>
          </w:p>
          <w:p w14:paraId="1E08E61A" w14:textId="77777777" w:rsidR="006C604C" w:rsidRDefault="006C604C" w:rsidP="006C604C">
            <w:pPr>
              <w:jc w:val="both"/>
            </w:pPr>
            <w:r>
              <w:t xml:space="preserve">The Minister will appoint an Establishment Advisory Group. That group appoints the Chief Executive and governance committees, approves delegations and other legally mandated requirements. </w:t>
            </w:r>
          </w:p>
          <w:p w14:paraId="56703F32" w14:textId="77777777" w:rsidR="006C604C" w:rsidRDefault="006C604C" w:rsidP="006C604C">
            <w:pPr>
              <w:jc w:val="both"/>
            </w:pPr>
          </w:p>
          <w:p w14:paraId="2B355382" w14:textId="77777777" w:rsidR="006C604C" w:rsidRDefault="006C604C" w:rsidP="006C604C">
            <w:pPr>
              <w:jc w:val="both"/>
            </w:pPr>
            <w:r>
              <w:t xml:space="preserve">We will work with Te Pūkenga to review current policies and procedures to establish which will be taken forward. </w:t>
            </w:r>
          </w:p>
          <w:p w14:paraId="37D15CBF" w14:textId="77777777" w:rsidR="006C604C" w:rsidRDefault="006C604C" w:rsidP="006C604C">
            <w:pPr>
              <w:jc w:val="both"/>
            </w:pPr>
          </w:p>
          <w:p w14:paraId="75DFDFE7" w14:textId="369DA8BA" w:rsidR="006C604C" w:rsidRDefault="006C604C" w:rsidP="006C604C">
            <w:pPr>
              <w:jc w:val="both"/>
            </w:pPr>
            <w:r>
              <w:t xml:space="preserve">We will appoint a Deputy Chief Executive – Māori to uphold Te Tiriti relationships through transition and beyond. </w:t>
            </w:r>
          </w:p>
          <w:p w14:paraId="289D9CED" w14:textId="77777777" w:rsidR="006C604C" w:rsidRDefault="006C604C" w:rsidP="006C604C">
            <w:pPr>
              <w:spacing w:line="257" w:lineRule="auto"/>
              <w:jc w:val="both"/>
            </w:pPr>
          </w:p>
          <w:p w14:paraId="4199FB40" w14:textId="77777777" w:rsidR="006C604C" w:rsidRDefault="006C604C" w:rsidP="006C604C">
            <w:pPr>
              <w:jc w:val="both"/>
              <w:rPr>
                <w:b/>
                <w:bCs/>
              </w:rPr>
            </w:pPr>
            <w:r w:rsidRPr="550088A0">
              <w:rPr>
                <w:b/>
                <w:bCs/>
              </w:rPr>
              <w:t>How will we be operating in the future under a single entity?</w:t>
            </w:r>
          </w:p>
          <w:p w14:paraId="4B48A735" w14:textId="77777777" w:rsidR="006C604C" w:rsidRDefault="006C604C" w:rsidP="006C604C">
            <w:pPr>
              <w:jc w:val="both"/>
              <w:rPr>
                <w:b/>
                <w:bCs/>
              </w:rPr>
            </w:pPr>
          </w:p>
          <w:p w14:paraId="3D4377BE" w14:textId="77777777" w:rsidR="006C604C" w:rsidRDefault="006C604C" w:rsidP="006C604C">
            <w:pPr>
              <w:jc w:val="both"/>
            </w:pPr>
            <w:r>
              <w:t>It is important to understand the brief of the new entity will not be the same as the nationally structured Te Pūkenga or what previously existed at MIT and Unitec.</w:t>
            </w:r>
          </w:p>
          <w:p w14:paraId="6055858B" w14:textId="77777777" w:rsidR="006C604C" w:rsidRDefault="006C604C" w:rsidP="006C604C">
            <w:pPr>
              <w:jc w:val="both"/>
            </w:pPr>
          </w:p>
          <w:p w14:paraId="4BF11750" w14:textId="77777777" w:rsidR="006C604C" w:rsidRDefault="006C604C" w:rsidP="006C604C">
            <w:pPr>
              <w:jc w:val="both"/>
            </w:pPr>
            <w:r>
              <w:t xml:space="preserve">We are being asked to further pursue learner-centredness, industry engagement, community focus and values-based leadership in a regional context. </w:t>
            </w:r>
          </w:p>
          <w:p w14:paraId="7B182E87" w14:textId="77777777" w:rsidR="006C604C" w:rsidRDefault="006C604C" w:rsidP="006C604C">
            <w:pPr>
              <w:jc w:val="both"/>
            </w:pPr>
          </w:p>
          <w:p w14:paraId="69BDE268" w14:textId="77777777" w:rsidR="006C604C" w:rsidRDefault="006C604C" w:rsidP="006C604C">
            <w:pPr>
              <w:jc w:val="both"/>
            </w:pPr>
            <w:r>
              <w:t xml:space="preserve">A vision for the new entity will be developed and approved by its Board and enacted by its Leadership team. </w:t>
            </w:r>
          </w:p>
          <w:p w14:paraId="34A3A93E" w14:textId="77777777" w:rsidR="006C604C" w:rsidRDefault="006C604C" w:rsidP="006C604C">
            <w:pPr>
              <w:jc w:val="both"/>
            </w:pPr>
          </w:p>
          <w:p w14:paraId="05A073DD" w14:textId="4A3DEF14" w:rsidR="006C604C" w:rsidRDefault="006C604C" w:rsidP="006C604C">
            <w:pPr>
              <w:jc w:val="both"/>
            </w:pPr>
            <w:r>
              <w:t xml:space="preserve">Ultimately, we will be governed by a single board, led by a </w:t>
            </w:r>
            <w:r w:rsidR="00913F42">
              <w:t xml:space="preserve">Chief Executive and a </w:t>
            </w:r>
            <w:r>
              <w:t xml:space="preserve">single Executive Leadership </w:t>
            </w:r>
            <w:r w:rsidR="00913F42">
              <w:t>T</w:t>
            </w:r>
            <w:r>
              <w:t>eam.</w:t>
            </w:r>
          </w:p>
          <w:p w14:paraId="77898B92" w14:textId="77777777" w:rsidR="006C604C" w:rsidRDefault="006C604C" w:rsidP="006C604C">
            <w:pPr>
              <w:jc w:val="both"/>
            </w:pPr>
            <w:r>
              <w:t xml:space="preserve"> </w:t>
            </w:r>
          </w:p>
          <w:p w14:paraId="72BC5945" w14:textId="77777777" w:rsidR="006C604C" w:rsidRDefault="006C604C" w:rsidP="006C604C">
            <w:pPr>
              <w:jc w:val="both"/>
            </w:pPr>
            <w:proofErr w:type="spellStart"/>
            <w:r>
              <w:t>Kaimahi</w:t>
            </w:r>
            <w:proofErr w:type="spellEnd"/>
            <w:r>
              <w:t xml:space="preserve"> will be fully consulted on this future direction and - it is expected – once developed we will be following a single regionally-focused operating model. </w:t>
            </w:r>
          </w:p>
          <w:p w14:paraId="3EB9A85F" w14:textId="77777777" w:rsidR="006C604C" w:rsidRDefault="006C604C" w:rsidP="006C604C">
            <w:pPr>
              <w:jc w:val="both"/>
              <w:rPr>
                <w:rFonts w:eastAsia="Calibri"/>
              </w:rPr>
            </w:pPr>
          </w:p>
          <w:p w14:paraId="737D2B89" w14:textId="77777777" w:rsidR="006C604C" w:rsidRDefault="006C604C" w:rsidP="006C604C">
            <w:pPr>
              <w:jc w:val="both"/>
              <w:rPr>
                <w:b/>
                <w:bCs/>
              </w:rPr>
            </w:pPr>
            <w:r w:rsidRPr="00016070">
              <w:rPr>
                <w:b/>
                <w:bCs/>
              </w:rPr>
              <w:t xml:space="preserve">What does this mean for MIT and Unitec as </w:t>
            </w:r>
            <w:r>
              <w:rPr>
                <w:b/>
                <w:bCs/>
              </w:rPr>
              <w:t>providers?</w:t>
            </w:r>
          </w:p>
          <w:p w14:paraId="23FC1D9C" w14:textId="77777777" w:rsidR="006C604C" w:rsidRDefault="006C604C" w:rsidP="006C604C">
            <w:pPr>
              <w:jc w:val="both"/>
              <w:rPr>
                <w:b/>
                <w:bCs/>
              </w:rPr>
            </w:pPr>
          </w:p>
          <w:p w14:paraId="1A08A072" w14:textId="67941A02" w:rsidR="006C604C" w:rsidRDefault="006C604C" w:rsidP="006C604C">
            <w:pPr>
              <w:jc w:val="both"/>
            </w:pPr>
            <w:r>
              <w:t xml:space="preserve">We </w:t>
            </w:r>
            <w:r w:rsidR="00102FFE">
              <w:t xml:space="preserve">acknowledge </w:t>
            </w:r>
            <w:r w:rsidR="008B7246">
              <w:t xml:space="preserve">and respect </w:t>
            </w:r>
            <w:r>
              <w:t xml:space="preserve">the trust and reputation our divisions have built with their communities through the work they have done over more than fifty years, as well as the significance these identities hold for us as </w:t>
            </w:r>
            <w:proofErr w:type="spellStart"/>
            <w:r>
              <w:t>kaimahi</w:t>
            </w:r>
            <w:proofErr w:type="spellEnd"/>
            <w:r>
              <w:t xml:space="preserve">. </w:t>
            </w:r>
          </w:p>
          <w:p w14:paraId="580006C9" w14:textId="77777777" w:rsidR="006C604C" w:rsidRDefault="006C604C" w:rsidP="006C604C">
            <w:pPr>
              <w:jc w:val="both"/>
            </w:pPr>
          </w:p>
          <w:p w14:paraId="141130E7" w14:textId="6F56CBCF" w:rsidR="006C604C" w:rsidRDefault="006C604C" w:rsidP="006C604C">
            <w:pPr>
              <w:jc w:val="both"/>
            </w:pPr>
            <w:r>
              <w:t xml:space="preserve">Current Senior Leadership Team at MIT and Unitec will be recommending to the incoming Board that the brands, identities, their principles, value systems and approaches to Te Tiriti remain in place for the foreseeable future pending the important, wide-ranging discussion on how we proceed with finding the best way to represent who we are and what we do </w:t>
            </w:r>
            <w:r w:rsidR="00E11E3B">
              <w:t xml:space="preserve">with </w:t>
            </w:r>
            <w:r>
              <w:t xml:space="preserve">our stakeholders.  </w:t>
            </w:r>
          </w:p>
          <w:p w14:paraId="728DC643" w14:textId="77777777" w:rsidR="006C604C" w:rsidRDefault="006C604C" w:rsidP="006C604C">
            <w:pPr>
              <w:jc w:val="both"/>
            </w:pPr>
          </w:p>
          <w:p w14:paraId="43FBE8F5" w14:textId="77777777" w:rsidR="006C604C" w:rsidRDefault="006C604C" w:rsidP="006C604C">
            <w:pPr>
              <w:jc w:val="both"/>
              <w:rPr>
                <w:b/>
                <w:bCs/>
              </w:rPr>
            </w:pPr>
            <w:r w:rsidRPr="550088A0">
              <w:rPr>
                <w:b/>
                <w:bCs/>
              </w:rPr>
              <w:lastRenderedPageBreak/>
              <w:t>What brands should we use when we are engaging with the public?</w:t>
            </w:r>
          </w:p>
          <w:p w14:paraId="3224D925" w14:textId="77777777" w:rsidR="006C604C" w:rsidRDefault="006C604C" w:rsidP="006C604C">
            <w:pPr>
              <w:jc w:val="both"/>
            </w:pPr>
          </w:p>
          <w:p w14:paraId="4AAB279F" w14:textId="77777777" w:rsidR="006C604C" w:rsidRDefault="006C604C" w:rsidP="006C604C">
            <w:pPr>
              <w:jc w:val="both"/>
            </w:pPr>
            <w:r>
              <w:t>Please continue using our current brands.</w:t>
            </w:r>
          </w:p>
          <w:p w14:paraId="231BEE08" w14:textId="77777777" w:rsidR="006C604C" w:rsidRDefault="006C604C" w:rsidP="006C604C">
            <w:pPr>
              <w:jc w:val="both"/>
            </w:pPr>
          </w:p>
          <w:p w14:paraId="018778A2" w14:textId="77777777" w:rsidR="006C604C" w:rsidRDefault="006C604C" w:rsidP="006C604C">
            <w:pPr>
              <w:jc w:val="both"/>
              <w:rPr>
                <w:b/>
                <w:bCs/>
              </w:rPr>
            </w:pPr>
            <w:r w:rsidRPr="007465CB">
              <w:rPr>
                <w:b/>
                <w:bCs/>
              </w:rPr>
              <w:t>Why was the decision not taken to return to two standalone providers in the region, as it was pre-Te Pūkenga?</w:t>
            </w:r>
          </w:p>
          <w:p w14:paraId="452B9C84" w14:textId="77777777" w:rsidR="006C604C" w:rsidRDefault="006C604C" w:rsidP="006C604C">
            <w:pPr>
              <w:jc w:val="both"/>
              <w:rPr>
                <w:b/>
                <w:bCs/>
              </w:rPr>
            </w:pPr>
          </w:p>
          <w:p w14:paraId="3520609A" w14:textId="77777777" w:rsidR="006C604C" w:rsidRDefault="006C604C" w:rsidP="006C604C">
            <w:pPr>
              <w:jc w:val="both"/>
            </w:pPr>
            <w:r>
              <w:t xml:space="preserve">The financial sustainability of MIT and Unitec as separate entities was evaluated as part of the Regional ITP Viability Project. </w:t>
            </w:r>
          </w:p>
          <w:p w14:paraId="3626C16C" w14:textId="77777777" w:rsidR="006C604C" w:rsidRDefault="006C604C" w:rsidP="006C604C">
            <w:pPr>
              <w:jc w:val="both"/>
            </w:pPr>
          </w:p>
          <w:p w14:paraId="07D71F09" w14:textId="77777777" w:rsidR="006C604C" w:rsidRDefault="006C604C" w:rsidP="006C604C">
            <w:pPr>
              <w:jc w:val="both"/>
            </w:pPr>
            <w:r>
              <w:t>R</w:t>
            </w:r>
            <w:r w:rsidRPr="007465CB">
              <w:t>eintroducing</w:t>
            </w:r>
            <w:r>
              <w:t xml:space="preserve"> separate independent entities at MIT and Unitec would require</w:t>
            </w:r>
            <w:r w:rsidRPr="007465CB">
              <w:t xml:space="preserve"> separate governance and leadership arrangements, as well as reestablishing support functions such as Finance, IT and HR</w:t>
            </w:r>
            <w:r>
              <w:t xml:space="preserve"> at each entity</w:t>
            </w:r>
            <w:r w:rsidRPr="007465CB">
              <w:t xml:space="preserve">. </w:t>
            </w:r>
          </w:p>
          <w:p w14:paraId="62CE44BB" w14:textId="77777777" w:rsidR="006C604C" w:rsidRDefault="006C604C" w:rsidP="006C604C">
            <w:pPr>
              <w:jc w:val="both"/>
            </w:pPr>
          </w:p>
          <w:p w14:paraId="1E2F9712" w14:textId="77777777" w:rsidR="006C604C" w:rsidRDefault="006C604C" w:rsidP="006C604C">
            <w:pPr>
              <w:jc w:val="both"/>
            </w:pPr>
            <w:r>
              <w:t xml:space="preserve">This would cost each provider millions of dollars a year and without necessarily delivering better outcomes. </w:t>
            </w:r>
          </w:p>
          <w:p w14:paraId="22C35EEA" w14:textId="77777777" w:rsidR="006C604C" w:rsidRPr="007465CB" w:rsidRDefault="006C604C" w:rsidP="006C604C">
            <w:pPr>
              <w:jc w:val="both"/>
            </w:pPr>
          </w:p>
          <w:p w14:paraId="3C1CF486" w14:textId="77777777" w:rsidR="006C604C" w:rsidRDefault="006C604C" w:rsidP="006C604C">
            <w:pPr>
              <w:jc w:val="both"/>
              <w:rPr>
                <w:b/>
                <w:bCs/>
              </w:rPr>
            </w:pPr>
            <w:r w:rsidRPr="550088A0">
              <w:rPr>
                <w:b/>
                <w:bCs/>
              </w:rPr>
              <w:t xml:space="preserve">What does this mean for </w:t>
            </w:r>
            <w:r>
              <w:rPr>
                <w:b/>
                <w:bCs/>
              </w:rPr>
              <w:t>job security at both providers</w:t>
            </w:r>
            <w:r w:rsidRPr="550088A0">
              <w:rPr>
                <w:b/>
                <w:bCs/>
              </w:rPr>
              <w:t>?</w:t>
            </w:r>
          </w:p>
          <w:p w14:paraId="3DDD9764" w14:textId="77777777" w:rsidR="006C604C" w:rsidRDefault="006C604C" w:rsidP="006C604C">
            <w:pPr>
              <w:jc w:val="both"/>
              <w:rPr>
                <w:b/>
                <w:bCs/>
              </w:rPr>
            </w:pPr>
          </w:p>
          <w:p w14:paraId="7905A194" w14:textId="77777777" w:rsidR="006C604C" w:rsidRDefault="006C604C" w:rsidP="006C604C">
            <w:pPr>
              <w:jc w:val="both"/>
            </w:pPr>
            <w:r w:rsidRPr="00225555">
              <w:t xml:space="preserve">We understand the obvious interest in this question and acknowledge the extended period of change our </w:t>
            </w:r>
            <w:proofErr w:type="spellStart"/>
            <w:r>
              <w:t>kaimahi</w:t>
            </w:r>
            <w:proofErr w:type="spellEnd"/>
            <w:r w:rsidRPr="00225555">
              <w:t xml:space="preserve"> have been through</w:t>
            </w:r>
            <w:r>
              <w:t xml:space="preserve"> in recent years</w:t>
            </w:r>
            <w:r w:rsidRPr="00225555">
              <w:t xml:space="preserve">. </w:t>
            </w:r>
          </w:p>
          <w:p w14:paraId="6814AB31" w14:textId="77777777" w:rsidR="006C604C" w:rsidRDefault="006C604C" w:rsidP="006C604C">
            <w:pPr>
              <w:jc w:val="both"/>
            </w:pPr>
          </w:p>
          <w:p w14:paraId="7BF85D86" w14:textId="77777777" w:rsidR="006C604C" w:rsidRDefault="006C604C" w:rsidP="006C604C">
            <w:pPr>
              <w:jc w:val="both"/>
            </w:pPr>
            <w:r>
              <w:t>It is too early to tell.</w:t>
            </w:r>
          </w:p>
          <w:p w14:paraId="0228DF03" w14:textId="77777777" w:rsidR="006C604C" w:rsidRDefault="006C604C" w:rsidP="006C604C">
            <w:pPr>
              <w:jc w:val="both"/>
            </w:pPr>
          </w:p>
          <w:p w14:paraId="750016FB" w14:textId="77777777" w:rsidR="006C604C" w:rsidRDefault="006C604C" w:rsidP="006C604C">
            <w:pPr>
              <w:spacing w:line="257" w:lineRule="auto"/>
              <w:jc w:val="both"/>
            </w:pPr>
            <w:r>
              <w:t xml:space="preserve">Fully realising the </w:t>
            </w:r>
            <w:proofErr w:type="gramStart"/>
            <w:r>
              <w:t>regionally-focused</w:t>
            </w:r>
            <w:proofErr w:type="gramEnd"/>
            <w:r>
              <w:t xml:space="preserve"> intent of the single entity and an organisational structure to support it will be the responsibility of the incoming Board and its Executive Leadership. </w:t>
            </w:r>
          </w:p>
          <w:p w14:paraId="1F7E916D" w14:textId="77777777" w:rsidR="006C604C" w:rsidRDefault="006C604C" w:rsidP="006C604C">
            <w:pPr>
              <w:spacing w:line="257" w:lineRule="auto"/>
              <w:jc w:val="both"/>
              <w:rPr>
                <w:lang w:val="en-US"/>
              </w:rPr>
            </w:pPr>
          </w:p>
          <w:p w14:paraId="559DBEEA" w14:textId="34344347" w:rsidR="006C604C" w:rsidRPr="00BA4D21" w:rsidRDefault="006C604C" w:rsidP="006C604C">
            <w:pPr>
              <w:spacing w:line="257" w:lineRule="auto"/>
              <w:jc w:val="both"/>
            </w:pPr>
            <w:r>
              <w:t xml:space="preserve">It is important to note in the legislation under which the single entity will be established, roles offered to </w:t>
            </w:r>
            <w:proofErr w:type="spellStart"/>
            <w:r>
              <w:t>kaimahi</w:t>
            </w:r>
            <w:proofErr w:type="spellEnd"/>
            <w:r>
              <w:t xml:space="preserve"> with the new entity must include </w:t>
            </w:r>
            <w:r w:rsidR="00A3412F">
              <w:t>equivalent</w:t>
            </w:r>
            <w:r>
              <w:t xml:space="preserve"> terms of employment they had with Te Pūkenga. </w:t>
            </w:r>
          </w:p>
          <w:p w14:paraId="1FB1F951" w14:textId="77777777" w:rsidR="006C604C" w:rsidRDefault="006C604C" w:rsidP="006C604C">
            <w:pPr>
              <w:jc w:val="both"/>
            </w:pPr>
          </w:p>
          <w:p w14:paraId="09B657E5" w14:textId="77777777" w:rsidR="006C604C" w:rsidRDefault="006C604C" w:rsidP="006C604C">
            <w:pPr>
              <w:jc w:val="both"/>
              <w:rPr>
                <w:rFonts w:eastAsia="Calibri"/>
              </w:rPr>
            </w:pPr>
            <w:r w:rsidRPr="550088A0">
              <w:rPr>
                <w:rFonts w:eastAsia="Calibri"/>
              </w:rPr>
              <w:t xml:space="preserve">Any proposed changes to roles impacting staff will be consulted on with affected </w:t>
            </w:r>
            <w:proofErr w:type="spellStart"/>
            <w:r w:rsidRPr="550088A0">
              <w:rPr>
                <w:rFonts w:eastAsia="Calibri"/>
              </w:rPr>
              <w:t>kaimahi</w:t>
            </w:r>
            <w:proofErr w:type="spellEnd"/>
            <w:r w:rsidRPr="550088A0">
              <w:rPr>
                <w:rFonts w:eastAsia="Calibri"/>
              </w:rPr>
              <w:t xml:space="preserve"> in accordance with all legal and industrial relations requirements.</w:t>
            </w:r>
          </w:p>
          <w:p w14:paraId="335699E6" w14:textId="77777777" w:rsidR="006C604C" w:rsidRPr="00225555" w:rsidRDefault="006C604C" w:rsidP="006C604C">
            <w:pPr>
              <w:jc w:val="both"/>
            </w:pPr>
          </w:p>
          <w:p w14:paraId="1C5ADEC1" w14:textId="77777777" w:rsidR="006C604C" w:rsidRDefault="006C604C" w:rsidP="006C604C">
            <w:pPr>
              <w:spacing w:line="257" w:lineRule="auto"/>
              <w:jc w:val="both"/>
            </w:pPr>
            <w:r>
              <w:t xml:space="preserve">We will continue to focus on supporting financial viability as we move toward transition. </w:t>
            </w:r>
          </w:p>
          <w:p w14:paraId="67AB8DD0" w14:textId="66F31960" w:rsidR="550088A0" w:rsidRDefault="550088A0" w:rsidP="550088A0">
            <w:pPr>
              <w:jc w:val="both"/>
              <w:rPr>
                <w:rFonts w:eastAsia="Calibri"/>
              </w:rPr>
            </w:pPr>
          </w:p>
          <w:p w14:paraId="298A5818" w14:textId="77777777" w:rsidR="004E662C" w:rsidRDefault="004E662C" w:rsidP="00E876E5">
            <w:pPr>
              <w:jc w:val="both"/>
              <w:rPr>
                <w:b/>
                <w:bCs/>
              </w:rPr>
            </w:pPr>
            <w:r w:rsidRPr="00E918CB">
              <w:rPr>
                <w:b/>
                <w:bCs/>
              </w:rPr>
              <w:t>How do I access support if I need it?</w:t>
            </w:r>
          </w:p>
          <w:p w14:paraId="14594BF9" w14:textId="77777777" w:rsidR="00B66C7B" w:rsidRDefault="00B66C7B" w:rsidP="00E876E5">
            <w:pPr>
              <w:jc w:val="both"/>
              <w:rPr>
                <w:b/>
                <w:bCs/>
              </w:rPr>
            </w:pPr>
          </w:p>
          <w:p w14:paraId="3B62525B" w14:textId="09EBEC5B" w:rsidR="004E662C" w:rsidRDefault="004E662C" w:rsidP="00E876E5">
            <w:pPr>
              <w:jc w:val="both"/>
            </w:pPr>
            <w:r>
              <w:t xml:space="preserve">MIT and Unitec </w:t>
            </w:r>
            <w:proofErr w:type="spellStart"/>
            <w:r>
              <w:t>kaimahi</w:t>
            </w:r>
            <w:proofErr w:type="spellEnd"/>
            <w:r>
              <w:t xml:space="preserve"> can access free, </w:t>
            </w:r>
            <w:r w:rsidR="42E9331C">
              <w:t>24-hour</w:t>
            </w:r>
            <w:r>
              <w:t xml:space="preserve"> support through Vitae. Appointments </w:t>
            </w:r>
            <w:hyperlink r:id="rId9">
              <w:r w:rsidRPr="550088A0">
                <w:rPr>
                  <w:rStyle w:val="Hyperlink"/>
                </w:rPr>
                <w:t>can be made online</w:t>
              </w:r>
            </w:hyperlink>
            <w:r>
              <w:t xml:space="preserve"> or via phone by calling Vitae 0508 664 981. </w:t>
            </w:r>
          </w:p>
          <w:p w14:paraId="5A8F32F3" w14:textId="0EC48888" w:rsidR="00B66C7B" w:rsidRDefault="00B66C7B" w:rsidP="550088A0">
            <w:pPr>
              <w:jc w:val="both"/>
            </w:pPr>
          </w:p>
          <w:p w14:paraId="67724894" w14:textId="040FEBB0" w:rsidR="004E662C" w:rsidRDefault="004E662C" w:rsidP="550088A0">
            <w:pPr>
              <w:jc w:val="both"/>
              <w:rPr>
                <w:i/>
                <w:iCs/>
              </w:rPr>
            </w:pPr>
            <w:r w:rsidRPr="550088A0">
              <w:rPr>
                <w:i/>
                <w:iCs/>
              </w:rPr>
              <w:t>From August 1</w:t>
            </w:r>
          </w:p>
          <w:p w14:paraId="6519F3CB" w14:textId="77777777" w:rsidR="00612246" w:rsidRDefault="00612246" w:rsidP="550088A0">
            <w:pPr>
              <w:jc w:val="both"/>
              <w:rPr>
                <w:i/>
                <w:iCs/>
              </w:rPr>
            </w:pPr>
          </w:p>
          <w:p w14:paraId="2654D280" w14:textId="77777777" w:rsidR="00612246" w:rsidRPr="00612246" w:rsidRDefault="00612246" w:rsidP="00612246">
            <w:pPr>
              <w:spacing w:after="160" w:line="259" w:lineRule="auto"/>
            </w:pPr>
            <w:r w:rsidRPr="00612246">
              <w:t>Unitec </w:t>
            </w:r>
          </w:p>
          <w:p w14:paraId="1F1C4B73" w14:textId="77777777" w:rsidR="00612246" w:rsidRPr="00612246" w:rsidRDefault="00612246" w:rsidP="00612246">
            <w:pPr>
              <w:spacing w:after="160" w:line="259" w:lineRule="auto"/>
            </w:pPr>
            <w:r w:rsidRPr="00612246">
              <w:t>Appointments can be made online or via phone by calling: </w:t>
            </w:r>
          </w:p>
          <w:p w14:paraId="1B87312E" w14:textId="77777777" w:rsidR="00612246" w:rsidRPr="00612246" w:rsidRDefault="00612246" w:rsidP="00612246">
            <w:pPr>
              <w:spacing w:after="160" w:line="259" w:lineRule="auto"/>
            </w:pPr>
            <w:r w:rsidRPr="00612246">
              <w:rPr>
                <w:b/>
                <w:bCs/>
              </w:rPr>
              <w:t>Vitae 0508 664 981</w:t>
            </w:r>
            <w:r w:rsidRPr="00612246">
              <w:t> anytime 24/7 or </w:t>
            </w:r>
            <w:hyperlink r:id="rId10" w:tgtFrame="_blank" w:history="1">
              <w:r w:rsidRPr="00612246">
                <w:rPr>
                  <w:rStyle w:val="Hyperlink"/>
                </w:rPr>
                <w:t>online appointment</w:t>
              </w:r>
            </w:hyperlink>
            <w:r w:rsidRPr="00612246">
              <w:t> </w:t>
            </w:r>
          </w:p>
          <w:p w14:paraId="70238E14" w14:textId="77777777" w:rsidR="00612246" w:rsidRDefault="00612246" w:rsidP="550088A0">
            <w:pPr>
              <w:jc w:val="both"/>
              <w:rPr>
                <w:i/>
                <w:iCs/>
              </w:rPr>
            </w:pPr>
          </w:p>
          <w:p w14:paraId="49BB5F21" w14:textId="211DD63E" w:rsidR="550088A0" w:rsidRDefault="550088A0" w:rsidP="550088A0">
            <w:pPr>
              <w:jc w:val="both"/>
            </w:pPr>
          </w:p>
          <w:p w14:paraId="6B4E2031" w14:textId="00FE8280" w:rsidR="550088A0" w:rsidRDefault="550088A0" w:rsidP="550088A0">
            <w:pPr>
              <w:jc w:val="both"/>
              <w:rPr>
                <w:rFonts w:eastAsia="Calibri"/>
                <w:i/>
                <w:iCs/>
              </w:rPr>
            </w:pPr>
          </w:p>
          <w:p w14:paraId="20F66867" w14:textId="6F408C3A" w:rsidR="004E662C" w:rsidRDefault="004E662C" w:rsidP="550088A0">
            <w:pPr>
              <w:spacing w:after="160" w:line="259" w:lineRule="auto"/>
              <w:jc w:val="both"/>
              <w:rPr>
                <w:i/>
                <w:iCs/>
              </w:rPr>
            </w:pPr>
            <w:r>
              <w:lastRenderedPageBreak/>
              <w:br/>
            </w:r>
          </w:p>
        </w:tc>
      </w:tr>
      <w:tr w:rsidR="00477D8F" w14:paraId="46047B50" w14:textId="77777777" w:rsidTr="550088A0">
        <w:tc>
          <w:tcPr>
            <w:tcW w:w="9090" w:type="dxa"/>
          </w:tcPr>
          <w:p w14:paraId="0905FE96" w14:textId="65DD92DC" w:rsidR="00477D8F" w:rsidRDefault="00B66C7B">
            <w:pPr>
              <w:rPr>
                <w:b/>
                <w:bCs/>
              </w:rPr>
            </w:pPr>
            <w:r>
              <w:rPr>
                <w:b/>
                <w:bCs/>
                <w:noProof/>
              </w:rPr>
              <w:lastRenderedPageBreak/>
              <w:drawing>
                <wp:inline distT="0" distB="0" distL="0" distR="0" wp14:anchorId="0057F4A4" wp14:editId="61AF3393">
                  <wp:extent cx="5643113" cy="996950"/>
                  <wp:effectExtent l="0" t="0" r="0" b="0"/>
                  <wp:docPr id="835700581" name="Picture 2" descr="A white background with red and green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00581" name="Picture 2" descr="A white background with red and green strip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662031" cy="1000292"/>
                          </a:xfrm>
                          <a:prstGeom prst="rect">
                            <a:avLst/>
                          </a:prstGeom>
                        </pic:spPr>
                      </pic:pic>
                    </a:graphicData>
                  </a:graphic>
                </wp:inline>
              </w:drawing>
            </w:r>
          </w:p>
        </w:tc>
      </w:tr>
    </w:tbl>
    <w:p w14:paraId="28E59CEE" w14:textId="77777777" w:rsidR="00477D8F" w:rsidRDefault="00477D8F">
      <w:pPr>
        <w:rPr>
          <w:b/>
          <w:bCs/>
        </w:rPr>
      </w:pPr>
    </w:p>
    <w:p w14:paraId="2F5C8AAB" w14:textId="77777777" w:rsidR="00477D8F" w:rsidRDefault="00477D8F">
      <w:pPr>
        <w:rPr>
          <w:b/>
          <w:bCs/>
        </w:rPr>
      </w:pPr>
    </w:p>
    <w:p w14:paraId="5B6D8F3A" w14:textId="77777777" w:rsidR="005C41AE" w:rsidRPr="005C41AE" w:rsidRDefault="005C41AE">
      <w:pPr>
        <w:rPr>
          <w:b/>
          <w:bCs/>
        </w:rPr>
      </w:pPr>
    </w:p>
    <w:sectPr w:rsidR="005C41AE" w:rsidRPr="005C4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E6B"/>
    <w:multiLevelType w:val="hybridMultilevel"/>
    <w:tmpl w:val="0F9630CA"/>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 w15:restartNumberingAfterBreak="0">
    <w:nsid w:val="55114D68"/>
    <w:multiLevelType w:val="hybridMultilevel"/>
    <w:tmpl w:val="CB5C4702"/>
    <w:lvl w:ilvl="0" w:tplc="AE046086">
      <w:start w:val="1"/>
      <w:numFmt w:val="bullet"/>
      <w:lvlText w:val=""/>
      <w:lvlJc w:val="left"/>
      <w:pPr>
        <w:ind w:left="720" w:hanging="360"/>
      </w:pPr>
      <w:rPr>
        <w:rFonts w:ascii="Symbol" w:hAnsi="Symbol" w:hint="default"/>
      </w:rPr>
    </w:lvl>
    <w:lvl w:ilvl="1" w:tplc="80188E6E">
      <w:start w:val="1"/>
      <w:numFmt w:val="bullet"/>
      <w:lvlText w:val="o"/>
      <w:lvlJc w:val="left"/>
      <w:pPr>
        <w:ind w:left="1440" w:hanging="360"/>
      </w:pPr>
      <w:rPr>
        <w:rFonts w:ascii="Courier New" w:hAnsi="Courier New" w:hint="default"/>
      </w:rPr>
    </w:lvl>
    <w:lvl w:ilvl="2" w:tplc="999C801E">
      <w:start w:val="1"/>
      <w:numFmt w:val="bullet"/>
      <w:lvlText w:val=""/>
      <w:lvlJc w:val="left"/>
      <w:pPr>
        <w:ind w:left="2160" w:hanging="360"/>
      </w:pPr>
      <w:rPr>
        <w:rFonts w:ascii="Wingdings" w:hAnsi="Wingdings" w:hint="default"/>
      </w:rPr>
    </w:lvl>
    <w:lvl w:ilvl="3" w:tplc="96EAFA04">
      <w:start w:val="1"/>
      <w:numFmt w:val="bullet"/>
      <w:lvlText w:val=""/>
      <w:lvlJc w:val="left"/>
      <w:pPr>
        <w:ind w:left="2880" w:hanging="360"/>
      </w:pPr>
      <w:rPr>
        <w:rFonts w:ascii="Symbol" w:hAnsi="Symbol" w:hint="default"/>
      </w:rPr>
    </w:lvl>
    <w:lvl w:ilvl="4" w:tplc="29982E0E">
      <w:start w:val="1"/>
      <w:numFmt w:val="bullet"/>
      <w:lvlText w:val="o"/>
      <w:lvlJc w:val="left"/>
      <w:pPr>
        <w:ind w:left="3600" w:hanging="360"/>
      </w:pPr>
      <w:rPr>
        <w:rFonts w:ascii="Courier New" w:hAnsi="Courier New" w:hint="default"/>
      </w:rPr>
    </w:lvl>
    <w:lvl w:ilvl="5" w:tplc="5DA2AB90">
      <w:start w:val="1"/>
      <w:numFmt w:val="bullet"/>
      <w:lvlText w:val=""/>
      <w:lvlJc w:val="left"/>
      <w:pPr>
        <w:ind w:left="4320" w:hanging="360"/>
      </w:pPr>
      <w:rPr>
        <w:rFonts w:ascii="Wingdings" w:hAnsi="Wingdings" w:hint="default"/>
      </w:rPr>
    </w:lvl>
    <w:lvl w:ilvl="6" w:tplc="59580B9C">
      <w:start w:val="1"/>
      <w:numFmt w:val="bullet"/>
      <w:lvlText w:val=""/>
      <w:lvlJc w:val="left"/>
      <w:pPr>
        <w:ind w:left="5040" w:hanging="360"/>
      </w:pPr>
      <w:rPr>
        <w:rFonts w:ascii="Symbol" w:hAnsi="Symbol" w:hint="default"/>
      </w:rPr>
    </w:lvl>
    <w:lvl w:ilvl="7" w:tplc="AFF245A8">
      <w:start w:val="1"/>
      <w:numFmt w:val="bullet"/>
      <w:lvlText w:val="o"/>
      <w:lvlJc w:val="left"/>
      <w:pPr>
        <w:ind w:left="5760" w:hanging="360"/>
      </w:pPr>
      <w:rPr>
        <w:rFonts w:ascii="Courier New" w:hAnsi="Courier New" w:hint="default"/>
      </w:rPr>
    </w:lvl>
    <w:lvl w:ilvl="8" w:tplc="B7969568">
      <w:start w:val="1"/>
      <w:numFmt w:val="bullet"/>
      <w:lvlText w:val=""/>
      <w:lvlJc w:val="left"/>
      <w:pPr>
        <w:ind w:left="6480" w:hanging="360"/>
      </w:pPr>
      <w:rPr>
        <w:rFonts w:ascii="Wingdings" w:hAnsi="Wingdings" w:hint="default"/>
      </w:rPr>
    </w:lvl>
  </w:abstractNum>
  <w:num w:numId="1" w16cid:durableId="1793594231">
    <w:abstractNumId w:val="1"/>
  </w:num>
  <w:num w:numId="2" w16cid:durableId="101195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AE"/>
    <w:rsid w:val="00016070"/>
    <w:rsid w:val="000351FF"/>
    <w:rsid w:val="00055C12"/>
    <w:rsid w:val="000B6152"/>
    <w:rsid w:val="000C19F7"/>
    <w:rsid w:val="000D4929"/>
    <w:rsid w:val="00102FFE"/>
    <w:rsid w:val="00114EAE"/>
    <w:rsid w:val="0012451A"/>
    <w:rsid w:val="00144497"/>
    <w:rsid w:val="00162935"/>
    <w:rsid w:val="00165C3E"/>
    <w:rsid w:val="00172385"/>
    <w:rsid w:val="001757B2"/>
    <w:rsid w:val="001764A4"/>
    <w:rsid w:val="0018662D"/>
    <w:rsid w:val="001B56F9"/>
    <w:rsid w:val="001D0FDC"/>
    <w:rsid w:val="001E1E17"/>
    <w:rsid w:val="00225555"/>
    <w:rsid w:val="00225737"/>
    <w:rsid w:val="002653B2"/>
    <w:rsid w:val="00274A03"/>
    <w:rsid w:val="002772DE"/>
    <w:rsid w:val="002D399C"/>
    <w:rsid w:val="00314F75"/>
    <w:rsid w:val="003A1194"/>
    <w:rsid w:val="003E0100"/>
    <w:rsid w:val="003E34CF"/>
    <w:rsid w:val="003E4C45"/>
    <w:rsid w:val="00402D9D"/>
    <w:rsid w:val="00421745"/>
    <w:rsid w:val="00444217"/>
    <w:rsid w:val="004577F4"/>
    <w:rsid w:val="00477D8F"/>
    <w:rsid w:val="004867BE"/>
    <w:rsid w:val="00490CEC"/>
    <w:rsid w:val="004A13DE"/>
    <w:rsid w:val="004A5739"/>
    <w:rsid w:val="004E625E"/>
    <w:rsid w:val="004E662C"/>
    <w:rsid w:val="004F6836"/>
    <w:rsid w:val="00511527"/>
    <w:rsid w:val="00535863"/>
    <w:rsid w:val="00554310"/>
    <w:rsid w:val="00562A37"/>
    <w:rsid w:val="005C41AE"/>
    <w:rsid w:val="005F535E"/>
    <w:rsid w:val="00612246"/>
    <w:rsid w:val="00620961"/>
    <w:rsid w:val="00622783"/>
    <w:rsid w:val="00630588"/>
    <w:rsid w:val="00644CA7"/>
    <w:rsid w:val="00658641"/>
    <w:rsid w:val="00660898"/>
    <w:rsid w:val="00667B16"/>
    <w:rsid w:val="006B442E"/>
    <w:rsid w:val="006C47BD"/>
    <w:rsid w:val="006C604C"/>
    <w:rsid w:val="006D1E92"/>
    <w:rsid w:val="00734339"/>
    <w:rsid w:val="007465CB"/>
    <w:rsid w:val="00775550"/>
    <w:rsid w:val="00791639"/>
    <w:rsid w:val="00791E49"/>
    <w:rsid w:val="007B41FD"/>
    <w:rsid w:val="00813A45"/>
    <w:rsid w:val="00853193"/>
    <w:rsid w:val="00863A47"/>
    <w:rsid w:val="00865465"/>
    <w:rsid w:val="00875B08"/>
    <w:rsid w:val="008948CE"/>
    <w:rsid w:val="00897800"/>
    <w:rsid w:val="008B6BF6"/>
    <w:rsid w:val="008B7246"/>
    <w:rsid w:val="008FA1B0"/>
    <w:rsid w:val="00906EA6"/>
    <w:rsid w:val="00907640"/>
    <w:rsid w:val="00910C45"/>
    <w:rsid w:val="00913F42"/>
    <w:rsid w:val="009313A5"/>
    <w:rsid w:val="0094767F"/>
    <w:rsid w:val="00986A5A"/>
    <w:rsid w:val="009B007E"/>
    <w:rsid w:val="009F5ACA"/>
    <w:rsid w:val="00A11524"/>
    <w:rsid w:val="00A3412F"/>
    <w:rsid w:val="00A66C85"/>
    <w:rsid w:val="00A8656D"/>
    <w:rsid w:val="00AB69F8"/>
    <w:rsid w:val="00AE015A"/>
    <w:rsid w:val="00AE0BD5"/>
    <w:rsid w:val="00AE2D1E"/>
    <w:rsid w:val="00B15F7C"/>
    <w:rsid w:val="00B17973"/>
    <w:rsid w:val="00B20868"/>
    <w:rsid w:val="00B24DB5"/>
    <w:rsid w:val="00B42748"/>
    <w:rsid w:val="00B47767"/>
    <w:rsid w:val="00B66C7B"/>
    <w:rsid w:val="00B762EE"/>
    <w:rsid w:val="00BA4D21"/>
    <w:rsid w:val="00BA6EC0"/>
    <w:rsid w:val="00BC33E0"/>
    <w:rsid w:val="00BD3710"/>
    <w:rsid w:val="00BF0EA3"/>
    <w:rsid w:val="00C217BE"/>
    <w:rsid w:val="00C542C2"/>
    <w:rsid w:val="00C5596B"/>
    <w:rsid w:val="00C57667"/>
    <w:rsid w:val="00C878BC"/>
    <w:rsid w:val="00CC0E82"/>
    <w:rsid w:val="00D153DF"/>
    <w:rsid w:val="00D5494A"/>
    <w:rsid w:val="00D8238E"/>
    <w:rsid w:val="00D827CB"/>
    <w:rsid w:val="00DE3402"/>
    <w:rsid w:val="00DE5B88"/>
    <w:rsid w:val="00E11E3B"/>
    <w:rsid w:val="00E37700"/>
    <w:rsid w:val="00E43955"/>
    <w:rsid w:val="00E6789E"/>
    <w:rsid w:val="00E83A49"/>
    <w:rsid w:val="00E876E5"/>
    <w:rsid w:val="00E918CB"/>
    <w:rsid w:val="00EA6F3F"/>
    <w:rsid w:val="00EB322D"/>
    <w:rsid w:val="00EF42DD"/>
    <w:rsid w:val="00F05321"/>
    <w:rsid w:val="00F07F2D"/>
    <w:rsid w:val="00F31F2F"/>
    <w:rsid w:val="00F46175"/>
    <w:rsid w:val="00F7104F"/>
    <w:rsid w:val="00F862BE"/>
    <w:rsid w:val="00F92C72"/>
    <w:rsid w:val="00FA2517"/>
    <w:rsid w:val="00FC64FF"/>
    <w:rsid w:val="00FE26A9"/>
    <w:rsid w:val="00FE2730"/>
    <w:rsid w:val="00FF1862"/>
    <w:rsid w:val="01042B57"/>
    <w:rsid w:val="012A995B"/>
    <w:rsid w:val="01F7FEB7"/>
    <w:rsid w:val="02865012"/>
    <w:rsid w:val="02A00F29"/>
    <w:rsid w:val="0302263F"/>
    <w:rsid w:val="030C699C"/>
    <w:rsid w:val="0328434D"/>
    <w:rsid w:val="032B9F8D"/>
    <w:rsid w:val="05446E33"/>
    <w:rsid w:val="05F83742"/>
    <w:rsid w:val="065D7AF0"/>
    <w:rsid w:val="068AC7E3"/>
    <w:rsid w:val="0695E00C"/>
    <w:rsid w:val="080DF96B"/>
    <w:rsid w:val="08724932"/>
    <w:rsid w:val="08AAFE67"/>
    <w:rsid w:val="08E4B0D7"/>
    <w:rsid w:val="09129AC6"/>
    <w:rsid w:val="09E8D181"/>
    <w:rsid w:val="0A16FB36"/>
    <w:rsid w:val="0B88577A"/>
    <w:rsid w:val="0BAA0A53"/>
    <w:rsid w:val="0DF7E496"/>
    <w:rsid w:val="0F02D5CF"/>
    <w:rsid w:val="0F1A9E73"/>
    <w:rsid w:val="0F61D0AC"/>
    <w:rsid w:val="0F69FA3B"/>
    <w:rsid w:val="0F81C09B"/>
    <w:rsid w:val="0FB88F05"/>
    <w:rsid w:val="103AE243"/>
    <w:rsid w:val="10FC7818"/>
    <w:rsid w:val="11004990"/>
    <w:rsid w:val="117372CF"/>
    <w:rsid w:val="11B62C06"/>
    <w:rsid w:val="11F49BE8"/>
    <w:rsid w:val="129503B8"/>
    <w:rsid w:val="12BB5AE0"/>
    <w:rsid w:val="12EB2CDE"/>
    <w:rsid w:val="133201EF"/>
    <w:rsid w:val="1380FA9D"/>
    <w:rsid w:val="13E6AA3A"/>
    <w:rsid w:val="1427BEB3"/>
    <w:rsid w:val="146C3088"/>
    <w:rsid w:val="14C0E6BD"/>
    <w:rsid w:val="14DE5656"/>
    <w:rsid w:val="15BDB40E"/>
    <w:rsid w:val="15BF3970"/>
    <w:rsid w:val="16645CA4"/>
    <w:rsid w:val="17036FD5"/>
    <w:rsid w:val="17259EB2"/>
    <w:rsid w:val="183F6938"/>
    <w:rsid w:val="1A0A25A4"/>
    <w:rsid w:val="1AA49EEF"/>
    <w:rsid w:val="1B35C7D9"/>
    <w:rsid w:val="1C132CCE"/>
    <w:rsid w:val="1CBC6A37"/>
    <w:rsid w:val="1D2B043D"/>
    <w:rsid w:val="1D8E09D9"/>
    <w:rsid w:val="1E986C86"/>
    <w:rsid w:val="1ED2A2D4"/>
    <w:rsid w:val="1F3F9F69"/>
    <w:rsid w:val="1F516FC6"/>
    <w:rsid w:val="2111A9A4"/>
    <w:rsid w:val="216BB5DE"/>
    <w:rsid w:val="217AC36C"/>
    <w:rsid w:val="217E5083"/>
    <w:rsid w:val="2199B4D5"/>
    <w:rsid w:val="21A42A99"/>
    <w:rsid w:val="227B6155"/>
    <w:rsid w:val="22F28442"/>
    <w:rsid w:val="249DE6B9"/>
    <w:rsid w:val="24CF00F3"/>
    <w:rsid w:val="2594635E"/>
    <w:rsid w:val="27A98455"/>
    <w:rsid w:val="27D40FFD"/>
    <w:rsid w:val="28768F13"/>
    <w:rsid w:val="289EFBBD"/>
    <w:rsid w:val="28A9E930"/>
    <w:rsid w:val="28C6076D"/>
    <w:rsid w:val="29043EC6"/>
    <w:rsid w:val="2A0C4EB2"/>
    <w:rsid w:val="2A99A5F7"/>
    <w:rsid w:val="2B0647CA"/>
    <w:rsid w:val="2B0E6AC0"/>
    <w:rsid w:val="2B55D9DE"/>
    <w:rsid w:val="2BFD35B6"/>
    <w:rsid w:val="2D932B25"/>
    <w:rsid w:val="2DE7355B"/>
    <w:rsid w:val="2DF95A7D"/>
    <w:rsid w:val="2F25A9DA"/>
    <w:rsid w:val="2F4882BC"/>
    <w:rsid w:val="2F4F8B20"/>
    <w:rsid w:val="2F615AC4"/>
    <w:rsid w:val="3084A6DE"/>
    <w:rsid w:val="311BEC0D"/>
    <w:rsid w:val="312303AF"/>
    <w:rsid w:val="31430217"/>
    <w:rsid w:val="315F0196"/>
    <w:rsid w:val="317C890D"/>
    <w:rsid w:val="318130CA"/>
    <w:rsid w:val="31BBA78C"/>
    <w:rsid w:val="31D80B2C"/>
    <w:rsid w:val="32342263"/>
    <w:rsid w:val="3309277C"/>
    <w:rsid w:val="34B1D4F0"/>
    <w:rsid w:val="35A91DB8"/>
    <w:rsid w:val="363DAE43"/>
    <w:rsid w:val="367500DE"/>
    <w:rsid w:val="36EF1B24"/>
    <w:rsid w:val="37BC56A9"/>
    <w:rsid w:val="385DE1A0"/>
    <w:rsid w:val="389B0638"/>
    <w:rsid w:val="38A199C7"/>
    <w:rsid w:val="3C74F590"/>
    <w:rsid w:val="3C924434"/>
    <w:rsid w:val="3CED9B97"/>
    <w:rsid w:val="3D3ACD79"/>
    <w:rsid w:val="3D55C6B3"/>
    <w:rsid w:val="3D7A4F2E"/>
    <w:rsid w:val="3DB774DA"/>
    <w:rsid w:val="3DBE9C36"/>
    <w:rsid w:val="3E1D856C"/>
    <w:rsid w:val="3E35FE0A"/>
    <w:rsid w:val="4067154C"/>
    <w:rsid w:val="40C9ABC5"/>
    <w:rsid w:val="4135F7F2"/>
    <w:rsid w:val="41AE2034"/>
    <w:rsid w:val="42BEF747"/>
    <w:rsid w:val="42E9331C"/>
    <w:rsid w:val="42F26282"/>
    <w:rsid w:val="433A49E5"/>
    <w:rsid w:val="43BCC2C5"/>
    <w:rsid w:val="441F8E23"/>
    <w:rsid w:val="457F8561"/>
    <w:rsid w:val="462B16D6"/>
    <w:rsid w:val="47564CD7"/>
    <w:rsid w:val="4756A846"/>
    <w:rsid w:val="479EDDB2"/>
    <w:rsid w:val="4832A7DC"/>
    <w:rsid w:val="4968669B"/>
    <w:rsid w:val="49765E3F"/>
    <w:rsid w:val="497A9702"/>
    <w:rsid w:val="49D0470C"/>
    <w:rsid w:val="4A6FD2EC"/>
    <w:rsid w:val="4BF89070"/>
    <w:rsid w:val="4CA96269"/>
    <w:rsid w:val="4CD52EA4"/>
    <w:rsid w:val="4D107082"/>
    <w:rsid w:val="4D24E752"/>
    <w:rsid w:val="4DB4E44F"/>
    <w:rsid w:val="4EB5B1C9"/>
    <w:rsid w:val="4EC92754"/>
    <w:rsid w:val="4EF5C39B"/>
    <w:rsid w:val="4F417A6F"/>
    <w:rsid w:val="4F7A1993"/>
    <w:rsid w:val="4FC20FDE"/>
    <w:rsid w:val="4FD575F2"/>
    <w:rsid w:val="501CA523"/>
    <w:rsid w:val="50D0C6B6"/>
    <w:rsid w:val="5282E1D6"/>
    <w:rsid w:val="5286724B"/>
    <w:rsid w:val="549CB216"/>
    <w:rsid w:val="54BD84E6"/>
    <w:rsid w:val="550088A0"/>
    <w:rsid w:val="55CE1915"/>
    <w:rsid w:val="5676C11D"/>
    <w:rsid w:val="5710B13E"/>
    <w:rsid w:val="5932749C"/>
    <w:rsid w:val="59908097"/>
    <w:rsid w:val="59A1FD0C"/>
    <w:rsid w:val="5A3F4CB9"/>
    <w:rsid w:val="5A6F799A"/>
    <w:rsid w:val="5B2BDFF2"/>
    <w:rsid w:val="5BBFF7BD"/>
    <w:rsid w:val="5C8A1ABD"/>
    <w:rsid w:val="5CC5C190"/>
    <w:rsid w:val="5CDE5970"/>
    <w:rsid w:val="5DA99B32"/>
    <w:rsid w:val="5F1B2BD3"/>
    <w:rsid w:val="5F4D736E"/>
    <w:rsid w:val="5FD4B9FC"/>
    <w:rsid w:val="5FD8F558"/>
    <w:rsid w:val="6031A3EA"/>
    <w:rsid w:val="619BC3E5"/>
    <w:rsid w:val="62095FD8"/>
    <w:rsid w:val="6308A49A"/>
    <w:rsid w:val="646D0D6B"/>
    <w:rsid w:val="64B72AA7"/>
    <w:rsid w:val="65A9545D"/>
    <w:rsid w:val="65FA0B1C"/>
    <w:rsid w:val="67448EF9"/>
    <w:rsid w:val="68D2971C"/>
    <w:rsid w:val="68D3C56E"/>
    <w:rsid w:val="692597EE"/>
    <w:rsid w:val="694502E2"/>
    <w:rsid w:val="69785F8E"/>
    <w:rsid w:val="69C96D38"/>
    <w:rsid w:val="6ABC4C37"/>
    <w:rsid w:val="6BA24755"/>
    <w:rsid w:val="6C295C02"/>
    <w:rsid w:val="6CCBE532"/>
    <w:rsid w:val="6CE02889"/>
    <w:rsid w:val="6E07DB31"/>
    <w:rsid w:val="6E37F387"/>
    <w:rsid w:val="6E92F74B"/>
    <w:rsid w:val="6EA92ACC"/>
    <w:rsid w:val="6F4CC7BF"/>
    <w:rsid w:val="6F60045A"/>
    <w:rsid w:val="6FE8CDE6"/>
    <w:rsid w:val="702793B0"/>
    <w:rsid w:val="713B7226"/>
    <w:rsid w:val="71EFF07B"/>
    <w:rsid w:val="725F8896"/>
    <w:rsid w:val="72B572D8"/>
    <w:rsid w:val="73A78E3C"/>
    <w:rsid w:val="7405B8D1"/>
    <w:rsid w:val="7420581F"/>
    <w:rsid w:val="74292636"/>
    <w:rsid w:val="743C4C20"/>
    <w:rsid w:val="74BF9B14"/>
    <w:rsid w:val="7533175E"/>
    <w:rsid w:val="75A9FAC8"/>
    <w:rsid w:val="75D79BED"/>
    <w:rsid w:val="7768D91A"/>
    <w:rsid w:val="77CD11CC"/>
    <w:rsid w:val="77F80B38"/>
    <w:rsid w:val="7867DBBB"/>
    <w:rsid w:val="78D80C7D"/>
    <w:rsid w:val="791339CD"/>
    <w:rsid w:val="79E636E7"/>
    <w:rsid w:val="7A29769D"/>
    <w:rsid w:val="7AA32CA0"/>
    <w:rsid w:val="7B0DA61E"/>
    <w:rsid w:val="7B2351D4"/>
    <w:rsid w:val="7B619B46"/>
    <w:rsid w:val="7B9585C1"/>
    <w:rsid w:val="7D87D1FE"/>
    <w:rsid w:val="7E26EE67"/>
    <w:rsid w:val="7E9B6C56"/>
    <w:rsid w:val="7EDA020A"/>
    <w:rsid w:val="7F4F70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32B4"/>
  <w15:chartTrackingRefBased/>
  <w15:docId w15:val="{9C02454A-E771-4063-8508-512BB4BB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1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1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41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41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41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41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41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1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1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41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41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41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41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41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41A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C41A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C41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1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41AE"/>
    <w:pPr>
      <w:spacing w:before="160"/>
      <w:jc w:val="center"/>
    </w:pPr>
    <w:rPr>
      <w:i/>
      <w:iCs/>
      <w:color w:val="404040" w:themeColor="text1" w:themeTint="BF"/>
    </w:rPr>
  </w:style>
  <w:style w:type="character" w:customStyle="1" w:styleId="QuoteChar">
    <w:name w:val="Quote Char"/>
    <w:basedOn w:val="DefaultParagraphFont"/>
    <w:link w:val="Quote"/>
    <w:uiPriority w:val="29"/>
    <w:rsid w:val="005C41AE"/>
    <w:rPr>
      <w:i/>
      <w:iCs/>
      <w:color w:val="404040" w:themeColor="text1" w:themeTint="BF"/>
    </w:rPr>
  </w:style>
  <w:style w:type="paragraph" w:styleId="ListParagraph">
    <w:name w:val="List Paragraph"/>
    <w:basedOn w:val="Normal"/>
    <w:uiPriority w:val="34"/>
    <w:qFormat/>
    <w:rsid w:val="005C41AE"/>
    <w:pPr>
      <w:ind w:left="720"/>
      <w:contextualSpacing/>
    </w:pPr>
  </w:style>
  <w:style w:type="character" w:styleId="IntenseEmphasis">
    <w:name w:val="Intense Emphasis"/>
    <w:basedOn w:val="DefaultParagraphFont"/>
    <w:uiPriority w:val="21"/>
    <w:qFormat/>
    <w:rsid w:val="005C41AE"/>
    <w:rPr>
      <w:i/>
      <w:iCs/>
      <w:color w:val="0F4761" w:themeColor="accent1" w:themeShade="BF"/>
    </w:rPr>
  </w:style>
  <w:style w:type="paragraph" w:styleId="IntenseQuote">
    <w:name w:val="Intense Quote"/>
    <w:basedOn w:val="Normal"/>
    <w:next w:val="Normal"/>
    <w:link w:val="IntenseQuoteChar"/>
    <w:uiPriority w:val="30"/>
    <w:qFormat/>
    <w:rsid w:val="005C4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1AE"/>
    <w:rPr>
      <w:i/>
      <w:iCs/>
      <w:color w:val="0F4761" w:themeColor="accent1" w:themeShade="BF"/>
    </w:rPr>
  </w:style>
  <w:style w:type="character" w:styleId="IntenseReference">
    <w:name w:val="Intense Reference"/>
    <w:basedOn w:val="DefaultParagraphFont"/>
    <w:uiPriority w:val="32"/>
    <w:qFormat/>
    <w:rsid w:val="005C41AE"/>
    <w:rPr>
      <w:b/>
      <w:bCs/>
      <w:smallCaps/>
      <w:color w:val="0F4761" w:themeColor="accent1" w:themeShade="BF"/>
      <w:spacing w:val="5"/>
    </w:rPr>
  </w:style>
  <w:style w:type="character" w:styleId="Hyperlink">
    <w:name w:val="Hyperlink"/>
    <w:basedOn w:val="DefaultParagraphFont"/>
    <w:uiPriority w:val="99"/>
    <w:unhideWhenUsed/>
    <w:rsid w:val="00E918CB"/>
    <w:rPr>
      <w:color w:val="467886" w:themeColor="hyperlink"/>
      <w:u w:val="single"/>
    </w:rPr>
  </w:style>
  <w:style w:type="character" w:styleId="UnresolvedMention">
    <w:name w:val="Unresolved Mention"/>
    <w:basedOn w:val="DefaultParagraphFont"/>
    <w:uiPriority w:val="99"/>
    <w:semiHidden/>
    <w:unhideWhenUsed/>
    <w:rsid w:val="00E918CB"/>
    <w:rPr>
      <w:color w:val="605E5C"/>
      <w:shd w:val="clear" w:color="auto" w:fill="E1DFDD"/>
    </w:rPr>
  </w:style>
  <w:style w:type="paragraph" w:styleId="Revision">
    <w:name w:val="Revision"/>
    <w:hidden/>
    <w:uiPriority w:val="99"/>
    <w:semiHidden/>
    <w:rsid w:val="00402D9D"/>
    <w:pPr>
      <w:spacing w:after="0" w:line="240" w:lineRule="auto"/>
    </w:pPr>
  </w:style>
  <w:style w:type="character" w:styleId="CommentReference">
    <w:name w:val="annotation reference"/>
    <w:basedOn w:val="DefaultParagraphFont"/>
    <w:uiPriority w:val="99"/>
    <w:semiHidden/>
    <w:unhideWhenUsed/>
    <w:rsid w:val="00AB69F8"/>
    <w:rPr>
      <w:sz w:val="16"/>
      <w:szCs w:val="16"/>
    </w:rPr>
  </w:style>
  <w:style w:type="paragraph" w:styleId="CommentText">
    <w:name w:val="annotation text"/>
    <w:basedOn w:val="Normal"/>
    <w:link w:val="CommentTextChar"/>
    <w:uiPriority w:val="99"/>
    <w:unhideWhenUsed/>
    <w:rsid w:val="00AB69F8"/>
    <w:pPr>
      <w:spacing w:line="240" w:lineRule="auto"/>
    </w:pPr>
    <w:rPr>
      <w:sz w:val="20"/>
      <w:szCs w:val="20"/>
    </w:rPr>
  </w:style>
  <w:style w:type="character" w:customStyle="1" w:styleId="CommentTextChar">
    <w:name w:val="Comment Text Char"/>
    <w:basedOn w:val="DefaultParagraphFont"/>
    <w:link w:val="CommentText"/>
    <w:uiPriority w:val="99"/>
    <w:rsid w:val="00AB69F8"/>
    <w:rPr>
      <w:sz w:val="20"/>
      <w:szCs w:val="20"/>
    </w:rPr>
  </w:style>
  <w:style w:type="paragraph" w:styleId="CommentSubject">
    <w:name w:val="annotation subject"/>
    <w:basedOn w:val="CommentText"/>
    <w:next w:val="CommentText"/>
    <w:link w:val="CommentSubjectChar"/>
    <w:uiPriority w:val="99"/>
    <w:semiHidden/>
    <w:unhideWhenUsed/>
    <w:rsid w:val="00AB69F8"/>
    <w:rPr>
      <w:b/>
      <w:bCs/>
    </w:rPr>
  </w:style>
  <w:style w:type="character" w:customStyle="1" w:styleId="CommentSubjectChar">
    <w:name w:val="Comment Subject Char"/>
    <w:basedOn w:val="CommentTextChar"/>
    <w:link w:val="CommentSubject"/>
    <w:uiPriority w:val="99"/>
    <w:semiHidden/>
    <w:rsid w:val="00AB69F8"/>
    <w:rPr>
      <w:b/>
      <w:bCs/>
      <w:sz w:val="20"/>
      <w:szCs w:val="20"/>
    </w:rPr>
  </w:style>
  <w:style w:type="table" w:styleId="TableGrid">
    <w:name w:val="Table Grid"/>
    <w:basedOn w:val="TableNormal"/>
    <w:uiPriority w:val="39"/>
    <w:rsid w:val="0047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64359">
      <w:bodyDiv w:val="1"/>
      <w:marLeft w:val="0"/>
      <w:marRight w:val="0"/>
      <w:marTop w:val="0"/>
      <w:marBottom w:val="0"/>
      <w:divBdr>
        <w:top w:val="none" w:sz="0" w:space="0" w:color="auto"/>
        <w:left w:val="none" w:sz="0" w:space="0" w:color="auto"/>
        <w:bottom w:val="none" w:sz="0" w:space="0" w:color="auto"/>
        <w:right w:val="none" w:sz="0" w:space="0" w:color="auto"/>
      </w:divBdr>
    </w:div>
    <w:div w:id="510678243">
      <w:bodyDiv w:val="1"/>
      <w:marLeft w:val="0"/>
      <w:marRight w:val="0"/>
      <w:marTop w:val="0"/>
      <w:marBottom w:val="0"/>
      <w:divBdr>
        <w:top w:val="none" w:sz="0" w:space="0" w:color="auto"/>
        <w:left w:val="none" w:sz="0" w:space="0" w:color="auto"/>
        <w:bottom w:val="none" w:sz="0" w:space="0" w:color="auto"/>
        <w:right w:val="none" w:sz="0" w:space="0" w:color="auto"/>
      </w:divBdr>
    </w:div>
    <w:div w:id="909774730">
      <w:bodyDiv w:val="1"/>
      <w:marLeft w:val="0"/>
      <w:marRight w:val="0"/>
      <w:marTop w:val="0"/>
      <w:marBottom w:val="0"/>
      <w:divBdr>
        <w:top w:val="none" w:sz="0" w:space="0" w:color="auto"/>
        <w:left w:val="none" w:sz="0" w:space="0" w:color="auto"/>
        <w:bottom w:val="none" w:sz="0" w:space="0" w:color="auto"/>
        <w:right w:val="none" w:sz="0" w:space="0" w:color="auto"/>
      </w:divBdr>
    </w:div>
    <w:div w:id="1484807941">
      <w:bodyDiv w:val="1"/>
      <w:marLeft w:val="0"/>
      <w:marRight w:val="0"/>
      <w:marTop w:val="0"/>
      <w:marBottom w:val="0"/>
      <w:divBdr>
        <w:top w:val="none" w:sz="0" w:space="0" w:color="auto"/>
        <w:left w:val="none" w:sz="0" w:space="0" w:color="auto"/>
        <w:bottom w:val="none" w:sz="0" w:space="0" w:color="auto"/>
        <w:right w:val="none" w:sz="0" w:space="0" w:color="auto"/>
      </w:divBdr>
    </w:div>
    <w:div w:id="1485119313">
      <w:bodyDiv w:val="1"/>
      <w:marLeft w:val="0"/>
      <w:marRight w:val="0"/>
      <w:marTop w:val="0"/>
      <w:marBottom w:val="0"/>
      <w:divBdr>
        <w:top w:val="none" w:sz="0" w:space="0" w:color="auto"/>
        <w:left w:val="none" w:sz="0" w:space="0" w:color="auto"/>
        <w:bottom w:val="none" w:sz="0" w:space="0" w:color="auto"/>
        <w:right w:val="none" w:sz="0" w:space="0" w:color="auto"/>
      </w:divBdr>
    </w:div>
    <w:div w:id="1540431908">
      <w:bodyDiv w:val="1"/>
      <w:marLeft w:val="0"/>
      <w:marRight w:val="0"/>
      <w:marTop w:val="0"/>
      <w:marBottom w:val="0"/>
      <w:divBdr>
        <w:top w:val="none" w:sz="0" w:space="0" w:color="auto"/>
        <w:left w:val="none" w:sz="0" w:space="0" w:color="auto"/>
        <w:bottom w:val="none" w:sz="0" w:space="0" w:color="auto"/>
        <w:right w:val="none" w:sz="0" w:space="0" w:color="auto"/>
      </w:divBdr>
    </w:div>
    <w:div w:id="1559591644">
      <w:bodyDiv w:val="1"/>
      <w:marLeft w:val="0"/>
      <w:marRight w:val="0"/>
      <w:marTop w:val="0"/>
      <w:marBottom w:val="0"/>
      <w:divBdr>
        <w:top w:val="none" w:sz="0" w:space="0" w:color="auto"/>
        <w:left w:val="none" w:sz="0" w:space="0" w:color="auto"/>
        <w:bottom w:val="none" w:sz="0" w:space="0" w:color="auto"/>
        <w:right w:val="none" w:sz="0" w:space="0" w:color="auto"/>
      </w:divBdr>
    </w:div>
    <w:div w:id="16743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apc01.safelinks.protection.outlook.com/?url=https%3A%2F%2Fwww.vitae.co.nz%2Fcontact%2Fcounselling-form%2F&amp;data=05%7C02%7Cali.ikram%40manukau.ac.nz%7C6b8747a916ff41fe293808ddbd0699c5%7C102ed531f47641dc908b87ad8578c638%7C1%7C0%7C638874558282590475%7CUnknown%7CTWFpbGZsb3d8eyJFbXB0eU1hcGkiOnRydWUsIlYiOiIwLjAuMDAwMCIsIlAiOiJXaW4zMiIsIkFOIjoiTWFpbCIsIldUIjoyfQ%3D%3D%7C0%7C%7C%7C&amp;sdata=ybRn%2FRpzFVNaeFv2vk8gMnYti2iu4ZH3qvDvr5jRZ2o%3D&amp;reserved=0" TargetMode="External"/><Relationship Id="rId4" Type="http://schemas.openxmlformats.org/officeDocument/2006/relationships/numbering" Target="numbering.xml"/><Relationship Id="rId9" Type="http://schemas.openxmlformats.org/officeDocument/2006/relationships/hyperlink" Target="https://apc01.safelinks.protection.outlook.com/?url=https%3A%2F%2Fwww.vitae.co.nz%2F&amp;data=05%7C02%7Cali.ikram%40manukau.ac.nz%7Cf7e51d6365884c88844c08dcbfce81aa%7C102ed531f47641dc908b87ad8578c638%7C1%7C0%7C638596140907538969%7CUnknown%7CTWFpbGZsb3d8eyJWIjoiMC4wLjAwMDAiLCJQIjoiV2luMzIiLCJBTiI6Ik1haWwiLCJXVCI6Mn0%3D%7C0%7C%7C%7C&amp;sdata=ASUi5morDweRq91pQmitX34s6gURCWR8dze2eJFGZ5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712da6-d607-4773-ada7-3337c00f078f">
      <Terms xmlns="http://schemas.microsoft.com/office/infopath/2007/PartnerControls"/>
    </lcf76f155ced4ddcb4097134ff3c332f>
    <TaxCatchAll xmlns="2c022772-6fe6-4ff2-b4dc-5c50d4d51c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2425EFDDB55408063A64096A4A673" ma:contentTypeVersion="18" ma:contentTypeDescription="Create a new document." ma:contentTypeScope="" ma:versionID="77e95705baa1727aeeb51471541fbc71">
  <xsd:schema xmlns:xsd="http://www.w3.org/2001/XMLSchema" xmlns:xs="http://www.w3.org/2001/XMLSchema" xmlns:p="http://schemas.microsoft.com/office/2006/metadata/properties" xmlns:ns2="fd712da6-d607-4773-ada7-3337c00f078f" xmlns:ns3="2c022772-6fe6-4ff2-b4dc-5c50d4d51c37" targetNamespace="http://schemas.microsoft.com/office/2006/metadata/properties" ma:root="true" ma:fieldsID="c288241302bf0eb5c33296f302863bd2" ns2:_="" ns3:_="">
    <xsd:import namespace="fd712da6-d607-4773-ada7-3337c00f078f"/>
    <xsd:import namespace="2c022772-6fe6-4ff2-b4dc-5c50d4d51c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12da6-d607-4773-ada7-3337c00f0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907047-9ea7-43f6-afbd-df01ff5a0c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22772-6fe6-4ff2-b4dc-5c50d4d51c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52a1f8-93a8-4f49-b573-9d53ebcae6b8}" ma:internalName="TaxCatchAll" ma:showField="CatchAllData" ma:web="2c022772-6fe6-4ff2-b4dc-5c50d4d51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EBDE2-05C1-4800-BE1E-4002A5CCF37A}">
  <ds:schemaRefs>
    <ds:schemaRef ds:uri="http://schemas.microsoft.com/office/2006/metadata/properties"/>
    <ds:schemaRef ds:uri="http://schemas.microsoft.com/office/infopath/2007/PartnerControls"/>
    <ds:schemaRef ds:uri="fd712da6-d607-4773-ada7-3337c00f078f"/>
    <ds:schemaRef ds:uri="2c022772-6fe6-4ff2-b4dc-5c50d4d51c37"/>
  </ds:schemaRefs>
</ds:datastoreItem>
</file>

<file path=customXml/itemProps2.xml><?xml version="1.0" encoding="utf-8"?>
<ds:datastoreItem xmlns:ds="http://schemas.openxmlformats.org/officeDocument/2006/customXml" ds:itemID="{B66D5B61-011B-4151-8D4A-B945660A6AED}">
  <ds:schemaRefs>
    <ds:schemaRef ds:uri="http://schemas.microsoft.com/sharepoint/v3/contenttype/forms"/>
  </ds:schemaRefs>
</ds:datastoreItem>
</file>

<file path=customXml/itemProps3.xml><?xml version="1.0" encoding="utf-8"?>
<ds:datastoreItem xmlns:ds="http://schemas.openxmlformats.org/officeDocument/2006/customXml" ds:itemID="{81D3DFC1-8BAE-4E40-9FD2-3E3B35F7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12da6-d607-4773-ada7-3337c00f078f"/>
    <ds:schemaRef ds:uri="2c022772-6fe6-4ff2-b4dc-5c50d4d51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Ikram</dc:creator>
  <cp:keywords/>
  <dc:description/>
  <cp:lastModifiedBy>Ali Ikram</cp:lastModifiedBy>
  <cp:revision>4</cp:revision>
  <dcterms:created xsi:type="dcterms:W3CDTF">2025-07-15T20:49:00Z</dcterms:created>
  <dcterms:modified xsi:type="dcterms:W3CDTF">2025-07-15T20:51:00Z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0x01010049B2425EFDDB55408063A64096A4A673</vt:lpwstr>
  </property>
  <property fmtid="{D5CDD505-2E9C-101B-9397-08002B2CF9AE}" pid="3" name="MediaServiceImageTags">
    <vt:lpwstr/>
  </property>
</Properties>
</file>