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624E" w14:textId="61A59419" w:rsidR="003236FA" w:rsidRPr="0040104D" w:rsidRDefault="00D74E29">
      <w:pPr>
        <w:rPr>
          <w:rFonts w:ascii="Century Gothic" w:hAnsi="Century Gothic"/>
          <w:b/>
          <w:bCs/>
          <w:sz w:val="36"/>
          <w:szCs w:val="36"/>
        </w:rPr>
      </w:pPr>
      <w:r w:rsidRPr="0040104D">
        <w:rPr>
          <w:rFonts w:ascii="Century Gothic" w:hAnsi="Century Gothic"/>
          <w:b/>
          <w:bCs/>
          <w:sz w:val="36"/>
          <w:szCs w:val="36"/>
        </w:rPr>
        <w:t>Glossary of terms</w:t>
      </w:r>
    </w:p>
    <w:tbl>
      <w:tblPr>
        <w:tblStyle w:val="TableGrid"/>
        <w:tblW w:w="0" w:type="auto"/>
        <w:tblLook w:val="04A0" w:firstRow="1" w:lastRow="0" w:firstColumn="1" w:lastColumn="0" w:noHBand="0" w:noVBand="1"/>
      </w:tblPr>
      <w:tblGrid>
        <w:gridCol w:w="2405"/>
        <w:gridCol w:w="6611"/>
      </w:tblGrid>
      <w:tr w:rsidR="00D74E29" w:rsidRPr="00BA445D" w14:paraId="5C0D7D4B" w14:textId="77777777" w:rsidTr="009C52B5">
        <w:tc>
          <w:tcPr>
            <w:tcW w:w="2405" w:type="dxa"/>
          </w:tcPr>
          <w:p w14:paraId="28058C03" w14:textId="0D63BC78" w:rsidR="00D74E29" w:rsidRPr="00BA445D" w:rsidRDefault="00D74E29" w:rsidP="00D10166">
            <w:pPr>
              <w:spacing w:before="40" w:after="40"/>
              <w:rPr>
                <w:rFonts w:ascii="Century Gothic" w:hAnsi="Century Gothic"/>
              </w:rPr>
            </w:pPr>
            <w:proofErr w:type="spellStart"/>
            <w:r w:rsidRPr="00BA445D">
              <w:rPr>
                <w:rFonts w:ascii="Century Gothic" w:hAnsi="Century Gothic"/>
              </w:rPr>
              <w:t>Ako</w:t>
            </w:r>
            <w:proofErr w:type="spellEnd"/>
          </w:p>
        </w:tc>
        <w:tc>
          <w:tcPr>
            <w:tcW w:w="6611" w:type="dxa"/>
          </w:tcPr>
          <w:p w14:paraId="77D907CF" w14:textId="658465B3" w:rsidR="00D74E29" w:rsidRPr="00BA445D" w:rsidRDefault="00D74E29" w:rsidP="00D10166">
            <w:pPr>
              <w:spacing w:before="40" w:after="40"/>
              <w:rPr>
                <w:rFonts w:ascii="Century Gothic" w:hAnsi="Century Gothic"/>
              </w:rPr>
            </w:pPr>
            <w:r w:rsidRPr="00BA445D">
              <w:rPr>
                <w:rFonts w:ascii="Century Gothic" w:hAnsi="Century Gothic"/>
              </w:rPr>
              <w:t xml:space="preserve">To learn, study, </w:t>
            </w:r>
            <w:proofErr w:type="spellStart"/>
            <w:r w:rsidRPr="00BA445D">
              <w:rPr>
                <w:rFonts w:ascii="Century Gothic" w:hAnsi="Century Gothic"/>
              </w:rPr>
              <w:t>instruct or</w:t>
            </w:r>
            <w:proofErr w:type="spellEnd"/>
            <w:r w:rsidRPr="00BA445D">
              <w:rPr>
                <w:rFonts w:ascii="Century Gothic" w:hAnsi="Century Gothic"/>
              </w:rPr>
              <w:t xml:space="preserve"> teach. </w:t>
            </w:r>
            <w:proofErr w:type="spellStart"/>
            <w:r w:rsidRPr="00BA445D">
              <w:rPr>
                <w:rFonts w:ascii="Century Gothic" w:hAnsi="Century Gothic"/>
              </w:rPr>
              <w:t>Ako</w:t>
            </w:r>
            <w:proofErr w:type="spellEnd"/>
            <w:r w:rsidRPr="00BA445D">
              <w:rPr>
                <w:rFonts w:ascii="Century Gothic" w:hAnsi="Century Gothic"/>
              </w:rPr>
              <w:t xml:space="preserve"> also describes a reciprocal teaching and learning relationship. It also recognises the ākonga and their whānau.</w:t>
            </w:r>
          </w:p>
        </w:tc>
      </w:tr>
      <w:tr w:rsidR="00D74E29" w:rsidRPr="00BA445D" w14:paraId="4B22A1E8" w14:textId="77777777" w:rsidTr="009C52B5">
        <w:tc>
          <w:tcPr>
            <w:tcW w:w="2405" w:type="dxa"/>
          </w:tcPr>
          <w:p w14:paraId="0C8C9212" w14:textId="7E5153BB" w:rsidR="00D74E29" w:rsidRPr="00BA445D" w:rsidRDefault="00D74E29" w:rsidP="00D10166">
            <w:pPr>
              <w:spacing w:before="40" w:after="40"/>
              <w:rPr>
                <w:rFonts w:ascii="Century Gothic" w:hAnsi="Century Gothic"/>
              </w:rPr>
            </w:pPr>
            <w:proofErr w:type="spellStart"/>
            <w:r w:rsidRPr="00BA445D">
              <w:rPr>
                <w:rFonts w:ascii="Century Gothic" w:hAnsi="Century Gothic"/>
              </w:rPr>
              <w:t>Ako</w:t>
            </w:r>
            <w:proofErr w:type="spellEnd"/>
            <w:r w:rsidRPr="00BA445D">
              <w:rPr>
                <w:rFonts w:ascii="Century Gothic" w:hAnsi="Century Gothic"/>
              </w:rPr>
              <w:t xml:space="preserve"> Network</w:t>
            </w:r>
          </w:p>
        </w:tc>
        <w:tc>
          <w:tcPr>
            <w:tcW w:w="6611" w:type="dxa"/>
          </w:tcPr>
          <w:p w14:paraId="07CC7EA1" w14:textId="54985257" w:rsidR="005E2FB7" w:rsidRPr="00BA445D" w:rsidRDefault="005E2FB7" w:rsidP="19C7B12D">
            <w:pPr>
              <w:spacing w:before="40" w:after="40"/>
              <w:rPr>
                <w:rFonts w:ascii="Century Gothic" w:hAnsi="Century Gothic"/>
              </w:rPr>
            </w:pPr>
            <w:proofErr w:type="spellStart"/>
            <w:r w:rsidRPr="19C7B12D">
              <w:rPr>
                <w:rFonts w:ascii="Century Gothic" w:hAnsi="Century Gothic"/>
              </w:rPr>
              <w:t>Ako</w:t>
            </w:r>
            <w:proofErr w:type="spellEnd"/>
            <w:r w:rsidRPr="19C7B12D">
              <w:rPr>
                <w:rFonts w:ascii="Century Gothic" w:hAnsi="Century Gothic"/>
              </w:rPr>
              <w:t xml:space="preserve"> Networks are formalised networks of teams that deliver teaching and learning and support the application of work-based skills across the country, for a specific group of qualifications and/or credentials. They reflect the collective capability of our diverse network.</w:t>
            </w:r>
          </w:p>
        </w:tc>
      </w:tr>
      <w:tr w:rsidR="00D74E29" w:rsidRPr="00BA445D" w14:paraId="2E516AEB" w14:textId="77777777" w:rsidTr="009C52B5">
        <w:tc>
          <w:tcPr>
            <w:tcW w:w="2405" w:type="dxa"/>
          </w:tcPr>
          <w:p w14:paraId="0AAA1CB3" w14:textId="2AD1BB29" w:rsidR="00D74E29" w:rsidRPr="00BA445D" w:rsidRDefault="00D74E29" w:rsidP="00D10166">
            <w:pPr>
              <w:spacing w:before="40" w:after="40"/>
              <w:rPr>
                <w:rFonts w:ascii="Century Gothic" w:hAnsi="Century Gothic"/>
              </w:rPr>
            </w:pPr>
            <w:r w:rsidRPr="00BA445D">
              <w:rPr>
                <w:rFonts w:ascii="Century Gothic" w:hAnsi="Century Gothic"/>
              </w:rPr>
              <w:t>Charter</w:t>
            </w:r>
          </w:p>
        </w:tc>
        <w:tc>
          <w:tcPr>
            <w:tcW w:w="6611" w:type="dxa"/>
          </w:tcPr>
          <w:p w14:paraId="3B1BA338" w14:textId="260D1D65" w:rsidR="00D74E29" w:rsidRPr="00BA445D" w:rsidRDefault="00D74E29" w:rsidP="00D10166">
            <w:pPr>
              <w:spacing w:before="40" w:after="40"/>
              <w:rPr>
                <w:rFonts w:ascii="Century Gothic" w:hAnsi="Century Gothic"/>
              </w:rPr>
            </w:pPr>
            <w:r w:rsidRPr="00BA445D">
              <w:rPr>
                <w:rFonts w:ascii="Century Gothic" w:hAnsi="Century Gothic"/>
              </w:rPr>
              <w:t>Schedule 13 of the Education and Training Act 2020.</w:t>
            </w:r>
          </w:p>
        </w:tc>
      </w:tr>
      <w:tr w:rsidR="00D74E29" w:rsidRPr="00BA445D" w14:paraId="673751BD" w14:textId="77777777" w:rsidTr="009C52B5">
        <w:tc>
          <w:tcPr>
            <w:tcW w:w="2405" w:type="dxa"/>
          </w:tcPr>
          <w:p w14:paraId="047F8F78" w14:textId="5AE4B40E" w:rsidR="00D74E29" w:rsidRPr="00BA445D" w:rsidRDefault="00D74E29" w:rsidP="00D10166">
            <w:pPr>
              <w:spacing w:before="40" w:after="40"/>
              <w:rPr>
                <w:rFonts w:ascii="Century Gothic" w:hAnsi="Century Gothic"/>
              </w:rPr>
            </w:pPr>
            <w:r w:rsidRPr="00BA445D">
              <w:rPr>
                <w:rFonts w:ascii="Century Gothic" w:hAnsi="Century Gothic"/>
              </w:rPr>
              <w:t>Collective Impact</w:t>
            </w:r>
          </w:p>
        </w:tc>
        <w:tc>
          <w:tcPr>
            <w:tcW w:w="6611" w:type="dxa"/>
          </w:tcPr>
          <w:p w14:paraId="2CAF96C2" w14:textId="693ECA48" w:rsidR="00D74E29" w:rsidRPr="00BA445D" w:rsidRDefault="00D74E29" w:rsidP="00D10166">
            <w:pPr>
              <w:spacing w:before="40" w:after="40"/>
              <w:rPr>
                <w:rFonts w:ascii="Century Gothic" w:hAnsi="Century Gothic"/>
              </w:rPr>
            </w:pPr>
            <w:r w:rsidRPr="00BA445D">
              <w:rPr>
                <w:rFonts w:ascii="Century Gothic" w:hAnsi="Century Gothic"/>
              </w:rPr>
              <w:t>An approach to delivering initiatives through mechanisms that partner with external parties and focuses on dedicated effort on shared priority outcomes, projects, or innovation across the network.</w:t>
            </w:r>
          </w:p>
        </w:tc>
      </w:tr>
      <w:tr w:rsidR="00D74E29" w:rsidRPr="00BA445D" w14:paraId="5C1D077E" w14:textId="77777777" w:rsidTr="009C52B5">
        <w:tc>
          <w:tcPr>
            <w:tcW w:w="2405" w:type="dxa"/>
          </w:tcPr>
          <w:p w14:paraId="3CE4C0CC" w14:textId="05595FA3" w:rsidR="00D74E29" w:rsidRPr="00BA445D" w:rsidRDefault="00D74E29" w:rsidP="00D10166">
            <w:pPr>
              <w:spacing w:before="40" w:after="40"/>
              <w:rPr>
                <w:rFonts w:ascii="Century Gothic" w:hAnsi="Century Gothic"/>
              </w:rPr>
            </w:pPr>
            <w:r w:rsidRPr="00BA445D">
              <w:rPr>
                <w:rFonts w:ascii="Century Gothic" w:hAnsi="Century Gothic"/>
              </w:rPr>
              <w:t>Disabled</w:t>
            </w:r>
          </w:p>
        </w:tc>
        <w:tc>
          <w:tcPr>
            <w:tcW w:w="6611" w:type="dxa"/>
          </w:tcPr>
          <w:p w14:paraId="2EC524AF" w14:textId="2AC93917" w:rsidR="00D74E29" w:rsidRPr="00BA445D" w:rsidRDefault="00D74E29" w:rsidP="00D10166">
            <w:pPr>
              <w:spacing w:before="40" w:after="40"/>
              <w:rPr>
                <w:rFonts w:ascii="Century Gothic" w:hAnsi="Century Gothic"/>
              </w:rPr>
            </w:pPr>
            <w:r w:rsidRPr="00BA445D">
              <w:rPr>
                <w:rFonts w:ascii="Century Gothic" w:hAnsi="Century Gothic"/>
              </w:rPr>
              <w:t>Disabled people or disabled learners are those with permanent impairments, those with impairments resulting from long or short-term injury or illness, the deaf community and those with learning disabilities, neurological or cognitive difficulties, mental health conditions and other hidden impairments.</w:t>
            </w:r>
          </w:p>
        </w:tc>
      </w:tr>
      <w:tr w:rsidR="001430B2" w:rsidRPr="00BA445D" w14:paraId="06079E87" w14:textId="77777777" w:rsidTr="009C52B5">
        <w:tc>
          <w:tcPr>
            <w:tcW w:w="2405" w:type="dxa"/>
          </w:tcPr>
          <w:p w14:paraId="088AC19F" w14:textId="2E732FC7" w:rsidR="001430B2" w:rsidRPr="00BA445D" w:rsidRDefault="001430B2" w:rsidP="00D10166">
            <w:pPr>
              <w:spacing w:before="40" w:after="40"/>
              <w:rPr>
                <w:rFonts w:ascii="Century Gothic" w:hAnsi="Century Gothic"/>
              </w:rPr>
            </w:pPr>
            <w:r>
              <w:rPr>
                <w:rFonts w:ascii="Century Gothic" w:hAnsi="Century Gothic"/>
              </w:rPr>
              <w:t xml:space="preserve">Distributed delivery </w:t>
            </w:r>
            <w:r w:rsidR="00A308D3">
              <w:rPr>
                <w:rFonts w:ascii="Century Gothic" w:hAnsi="Century Gothic"/>
              </w:rPr>
              <w:t>function</w:t>
            </w:r>
          </w:p>
        </w:tc>
        <w:tc>
          <w:tcPr>
            <w:tcW w:w="6611" w:type="dxa"/>
          </w:tcPr>
          <w:p w14:paraId="4E329840" w14:textId="1C368D40" w:rsidR="001430B2" w:rsidRPr="00BA445D" w:rsidRDefault="00A308D3" w:rsidP="00D10166">
            <w:pPr>
              <w:spacing w:before="40" w:after="40"/>
              <w:rPr>
                <w:rFonts w:ascii="Century Gothic" w:hAnsi="Century Gothic"/>
              </w:rPr>
            </w:pPr>
            <w:r>
              <w:rPr>
                <w:rFonts w:ascii="Century Gothic" w:hAnsi="Century Gothic"/>
              </w:rPr>
              <w:t>A d</w:t>
            </w:r>
            <w:r w:rsidRPr="00A308D3">
              <w:rPr>
                <w:rFonts w:ascii="Century Gothic" w:hAnsi="Century Gothic"/>
              </w:rPr>
              <w:t xml:space="preserve">istributed </w:t>
            </w:r>
            <w:r>
              <w:rPr>
                <w:rFonts w:ascii="Century Gothic" w:hAnsi="Century Gothic"/>
              </w:rPr>
              <w:t xml:space="preserve">delivery </w:t>
            </w:r>
            <w:r w:rsidRPr="00A308D3">
              <w:rPr>
                <w:rFonts w:ascii="Century Gothic" w:hAnsi="Century Gothic"/>
              </w:rPr>
              <w:t>function supports responsiveness to regional, equity and diversity needs.</w:t>
            </w:r>
            <w:r w:rsidR="00FF24B3">
              <w:t xml:space="preserve"> </w:t>
            </w:r>
            <w:r w:rsidR="00FF24B3" w:rsidRPr="00FF24B3">
              <w:rPr>
                <w:rFonts w:ascii="Century Gothic" w:hAnsi="Century Gothic"/>
              </w:rPr>
              <w:t>These activities</w:t>
            </w:r>
            <w:r w:rsidR="00FF24B3">
              <w:rPr>
                <w:rFonts w:ascii="Century Gothic" w:hAnsi="Century Gothic"/>
              </w:rPr>
              <w:t xml:space="preserve"> </w:t>
            </w:r>
            <w:r w:rsidR="00FF24B3" w:rsidRPr="00FF24B3">
              <w:rPr>
                <w:rFonts w:ascii="Century Gothic" w:hAnsi="Century Gothic"/>
              </w:rPr>
              <w:t>can be relied upon to deliver the right approach at the right time, taking into</w:t>
            </w:r>
            <w:r w:rsidR="00FF24B3">
              <w:rPr>
                <w:rFonts w:ascii="Century Gothic" w:hAnsi="Century Gothic"/>
              </w:rPr>
              <w:t xml:space="preserve"> </w:t>
            </w:r>
            <w:r w:rsidR="00FF24B3" w:rsidRPr="00FF24B3">
              <w:rPr>
                <w:rFonts w:ascii="Century Gothic" w:hAnsi="Century Gothic"/>
              </w:rPr>
              <w:t>consideration the situational needs of the</w:t>
            </w:r>
            <w:r w:rsidR="00FF24B3">
              <w:rPr>
                <w:rFonts w:ascii="Century Gothic" w:hAnsi="Century Gothic"/>
              </w:rPr>
              <w:t xml:space="preserve"> </w:t>
            </w:r>
            <w:r w:rsidR="00FF24B3" w:rsidRPr="00FF24B3">
              <w:rPr>
                <w:rFonts w:ascii="Century Gothic" w:hAnsi="Century Gothic"/>
              </w:rPr>
              <w:t>learner and their environment.</w:t>
            </w:r>
          </w:p>
        </w:tc>
      </w:tr>
      <w:tr w:rsidR="00713D30" w:rsidRPr="00BA445D" w14:paraId="3414A28D" w14:textId="77777777" w:rsidTr="009C52B5">
        <w:tc>
          <w:tcPr>
            <w:tcW w:w="2405" w:type="dxa"/>
          </w:tcPr>
          <w:p w14:paraId="25F3823A" w14:textId="606713EB" w:rsidR="00713D30" w:rsidRDefault="00713D30" w:rsidP="00D10166">
            <w:pPr>
              <w:spacing w:before="40" w:after="40"/>
              <w:rPr>
                <w:rFonts w:ascii="Century Gothic" w:hAnsi="Century Gothic"/>
              </w:rPr>
            </w:pPr>
            <w:r>
              <w:rPr>
                <w:rFonts w:ascii="Century Gothic" w:hAnsi="Century Gothic"/>
              </w:rPr>
              <w:t>Enabling functions</w:t>
            </w:r>
          </w:p>
        </w:tc>
        <w:tc>
          <w:tcPr>
            <w:tcW w:w="6611" w:type="dxa"/>
          </w:tcPr>
          <w:p w14:paraId="09D7BA59" w14:textId="5A197C00" w:rsidR="00713D30" w:rsidRDefault="00E47588" w:rsidP="00D10166">
            <w:pPr>
              <w:spacing w:before="40" w:after="40"/>
              <w:rPr>
                <w:rFonts w:ascii="Century Gothic" w:hAnsi="Century Gothic"/>
              </w:rPr>
            </w:pPr>
            <w:r w:rsidRPr="00E47588">
              <w:rPr>
                <w:rFonts w:ascii="Century Gothic" w:hAnsi="Century Gothic"/>
              </w:rPr>
              <w:t>Enabling functions sustain the network and ensure</w:t>
            </w:r>
            <w:r>
              <w:rPr>
                <w:rFonts w:ascii="Century Gothic" w:hAnsi="Century Gothic"/>
              </w:rPr>
              <w:t xml:space="preserve"> </w:t>
            </w:r>
            <w:r w:rsidRPr="00E47588">
              <w:rPr>
                <w:rFonts w:ascii="Century Gothic" w:hAnsi="Century Gothic"/>
              </w:rPr>
              <w:t>information flows between them to enable quality, certainty, and consistency throughout. Bringing together these core enabling functions also drives economies of scale and reduces duplication within the network.</w:t>
            </w:r>
          </w:p>
        </w:tc>
      </w:tr>
      <w:tr w:rsidR="00D74E29" w:rsidRPr="00BA445D" w14:paraId="60EA5A4A" w14:textId="77777777" w:rsidTr="009C52B5">
        <w:tc>
          <w:tcPr>
            <w:tcW w:w="2405" w:type="dxa"/>
          </w:tcPr>
          <w:p w14:paraId="60B55645" w14:textId="25200833" w:rsidR="00D74E29" w:rsidRPr="00BA445D" w:rsidRDefault="00D74E29" w:rsidP="00D10166">
            <w:pPr>
              <w:spacing w:before="40" w:after="40"/>
              <w:rPr>
                <w:rFonts w:ascii="Century Gothic" w:hAnsi="Century Gothic"/>
              </w:rPr>
            </w:pPr>
            <w:r w:rsidRPr="00BA445D">
              <w:rPr>
                <w:rFonts w:ascii="Century Gothic" w:hAnsi="Century Gothic"/>
              </w:rPr>
              <w:t>Function</w:t>
            </w:r>
          </w:p>
        </w:tc>
        <w:tc>
          <w:tcPr>
            <w:tcW w:w="6611" w:type="dxa"/>
          </w:tcPr>
          <w:p w14:paraId="27BB8BAE" w14:textId="40EC24DC" w:rsidR="00D74E29" w:rsidRPr="00BA445D" w:rsidRDefault="00D74E29" w:rsidP="00D10166">
            <w:pPr>
              <w:spacing w:before="40" w:after="40"/>
              <w:rPr>
                <w:rFonts w:ascii="Century Gothic" w:hAnsi="Century Gothic"/>
              </w:rPr>
            </w:pPr>
            <w:r w:rsidRPr="00BA445D">
              <w:rPr>
                <w:rFonts w:ascii="Century Gothic" w:hAnsi="Century Gothic"/>
              </w:rPr>
              <w:t xml:space="preserve">Group of activities or areas of speciality in an organisation. </w:t>
            </w:r>
          </w:p>
        </w:tc>
      </w:tr>
      <w:tr w:rsidR="00D74E29" w:rsidRPr="00BA445D" w14:paraId="7C3C3FCC" w14:textId="77777777" w:rsidTr="009C52B5">
        <w:tc>
          <w:tcPr>
            <w:tcW w:w="2405" w:type="dxa"/>
          </w:tcPr>
          <w:p w14:paraId="1996BF0C" w14:textId="0E0F8ACA" w:rsidR="00D74E29" w:rsidRPr="00BA445D" w:rsidRDefault="00D74E29" w:rsidP="00D10166">
            <w:pPr>
              <w:spacing w:before="40" w:after="40"/>
              <w:rPr>
                <w:rFonts w:ascii="Century Gothic" w:hAnsi="Century Gothic"/>
              </w:rPr>
            </w:pPr>
            <w:r w:rsidRPr="00BA445D">
              <w:rPr>
                <w:rFonts w:ascii="Century Gothic" w:hAnsi="Century Gothic"/>
              </w:rPr>
              <w:t>Functional model</w:t>
            </w:r>
          </w:p>
        </w:tc>
        <w:tc>
          <w:tcPr>
            <w:tcW w:w="6611" w:type="dxa"/>
          </w:tcPr>
          <w:p w14:paraId="472BF3FE" w14:textId="50646DA3" w:rsidR="00D74E29" w:rsidRPr="00BA445D" w:rsidRDefault="00D74E29" w:rsidP="00D10166">
            <w:pPr>
              <w:spacing w:before="40" w:after="40"/>
              <w:rPr>
                <w:rFonts w:ascii="Century Gothic" w:hAnsi="Century Gothic"/>
              </w:rPr>
            </w:pPr>
            <w:r w:rsidRPr="00BA445D">
              <w:rPr>
                <w:rFonts w:ascii="Century Gothic" w:hAnsi="Century Gothic"/>
              </w:rPr>
              <w:t>Describes the proposed future functions of our organisation and how they are grouped to enable the future experience for learners, their whānau, employers, staff, and Te Tiriti o Waitangi partners.</w:t>
            </w:r>
          </w:p>
        </w:tc>
      </w:tr>
      <w:tr w:rsidR="0040104D" w:rsidRPr="00BA445D" w14:paraId="63A295F5" w14:textId="77777777" w:rsidTr="009C52B5">
        <w:tc>
          <w:tcPr>
            <w:tcW w:w="2405" w:type="dxa"/>
          </w:tcPr>
          <w:p w14:paraId="649B05EF" w14:textId="07FFCC11" w:rsidR="0040104D" w:rsidRPr="00BA445D" w:rsidRDefault="00561129" w:rsidP="00D10166">
            <w:pPr>
              <w:spacing w:before="40" w:after="40"/>
              <w:rPr>
                <w:rFonts w:ascii="Century Gothic" w:hAnsi="Century Gothic"/>
              </w:rPr>
            </w:pPr>
            <w:r>
              <w:rPr>
                <w:rFonts w:ascii="Century Gothic" w:hAnsi="Century Gothic"/>
              </w:rPr>
              <w:t>ITP</w:t>
            </w:r>
          </w:p>
        </w:tc>
        <w:tc>
          <w:tcPr>
            <w:tcW w:w="6611" w:type="dxa"/>
          </w:tcPr>
          <w:p w14:paraId="2A3F90CB" w14:textId="7D8CBC60" w:rsidR="0040104D" w:rsidRPr="00BA445D" w:rsidRDefault="00561129" w:rsidP="00D10166">
            <w:pPr>
              <w:spacing w:before="40" w:after="40"/>
              <w:rPr>
                <w:rFonts w:ascii="Century Gothic" w:hAnsi="Century Gothic"/>
              </w:rPr>
            </w:pPr>
            <w:r>
              <w:rPr>
                <w:rFonts w:ascii="Century Gothic" w:hAnsi="Century Gothic"/>
              </w:rPr>
              <w:t xml:space="preserve">Institutes of Technology and Polytechnics </w:t>
            </w:r>
          </w:p>
        </w:tc>
      </w:tr>
      <w:tr w:rsidR="00BA445D" w:rsidRPr="00BA445D" w14:paraId="3C4F4C8B" w14:textId="77777777" w:rsidTr="009C52B5">
        <w:tc>
          <w:tcPr>
            <w:tcW w:w="2405" w:type="dxa"/>
          </w:tcPr>
          <w:p w14:paraId="42851D4E" w14:textId="41914412" w:rsidR="00BA445D" w:rsidRPr="00BA445D" w:rsidRDefault="00BA445D" w:rsidP="00D10166">
            <w:pPr>
              <w:spacing w:before="40" w:after="40"/>
              <w:rPr>
                <w:rFonts w:ascii="Century Gothic" w:hAnsi="Century Gothic"/>
              </w:rPr>
            </w:pPr>
            <w:r>
              <w:rPr>
                <w:rFonts w:ascii="Century Gothic" w:hAnsi="Century Gothic"/>
              </w:rPr>
              <w:t>Kaiako</w:t>
            </w:r>
          </w:p>
        </w:tc>
        <w:tc>
          <w:tcPr>
            <w:tcW w:w="6611" w:type="dxa"/>
          </w:tcPr>
          <w:p w14:paraId="07C2193F" w14:textId="0D5CE2A5" w:rsidR="00BA445D" w:rsidRPr="00BA445D" w:rsidRDefault="00BA445D" w:rsidP="00D10166">
            <w:pPr>
              <w:spacing w:before="40" w:after="40"/>
              <w:rPr>
                <w:rFonts w:ascii="Century Gothic" w:hAnsi="Century Gothic"/>
              </w:rPr>
            </w:pPr>
            <w:r w:rsidRPr="00BA445D">
              <w:rPr>
                <w:rFonts w:ascii="Century Gothic" w:hAnsi="Century Gothic"/>
              </w:rPr>
              <w:t>A teacher, academic staff member, tutor, trainer or instructor.</w:t>
            </w:r>
          </w:p>
        </w:tc>
      </w:tr>
      <w:tr w:rsidR="00D74E29" w:rsidRPr="00BA445D" w14:paraId="645E8028" w14:textId="77777777" w:rsidTr="009C52B5">
        <w:tc>
          <w:tcPr>
            <w:tcW w:w="2405" w:type="dxa"/>
          </w:tcPr>
          <w:p w14:paraId="49652749" w14:textId="574CDD58" w:rsidR="00D74E29" w:rsidRPr="00BA445D" w:rsidRDefault="00D74E29" w:rsidP="00D10166">
            <w:pPr>
              <w:spacing w:before="40" w:after="40"/>
              <w:rPr>
                <w:rFonts w:ascii="Century Gothic" w:hAnsi="Century Gothic"/>
              </w:rPr>
            </w:pPr>
            <w:r w:rsidRPr="00BA445D">
              <w:rPr>
                <w:rFonts w:ascii="Century Gothic" w:hAnsi="Century Gothic"/>
              </w:rPr>
              <w:t>Kōtui Kōrero</w:t>
            </w:r>
          </w:p>
        </w:tc>
        <w:tc>
          <w:tcPr>
            <w:tcW w:w="6611" w:type="dxa"/>
          </w:tcPr>
          <w:p w14:paraId="48A1058B" w14:textId="27741617" w:rsidR="00D74E29" w:rsidRPr="00BA445D" w:rsidRDefault="00D74E29" w:rsidP="00D10166">
            <w:pPr>
              <w:spacing w:before="40" w:after="40"/>
              <w:rPr>
                <w:rFonts w:ascii="Century Gothic" w:hAnsi="Century Gothic"/>
              </w:rPr>
            </w:pPr>
            <w:r w:rsidRPr="00BA445D">
              <w:rPr>
                <w:rFonts w:ascii="Century Gothic" w:hAnsi="Century Gothic"/>
              </w:rPr>
              <w:t>An engagement series hosted by Te Pūkenga with subsidiary ITP staff that took place during June 2021.</w:t>
            </w:r>
          </w:p>
        </w:tc>
      </w:tr>
      <w:tr w:rsidR="00D74E29" w:rsidRPr="00BA445D" w14:paraId="3324F0A8" w14:textId="77777777" w:rsidTr="009C52B5">
        <w:tc>
          <w:tcPr>
            <w:tcW w:w="2405" w:type="dxa"/>
          </w:tcPr>
          <w:p w14:paraId="39D45C02" w14:textId="630EACE5" w:rsidR="00D74E29" w:rsidRPr="00BA445D" w:rsidRDefault="00D74E29" w:rsidP="00D10166">
            <w:pPr>
              <w:spacing w:before="40" w:after="40"/>
              <w:rPr>
                <w:rFonts w:ascii="Century Gothic" w:hAnsi="Century Gothic"/>
              </w:rPr>
            </w:pPr>
            <w:r w:rsidRPr="00BA445D">
              <w:rPr>
                <w:rFonts w:ascii="Century Gothic" w:hAnsi="Century Gothic"/>
              </w:rPr>
              <w:t>Organisation design</w:t>
            </w:r>
          </w:p>
        </w:tc>
        <w:tc>
          <w:tcPr>
            <w:tcW w:w="6611" w:type="dxa"/>
          </w:tcPr>
          <w:p w14:paraId="22DA7E1D" w14:textId="19FEE45F" w:rsidR="00D74E29" w:rsidRPr="00BA445D" w:rsidRDefault="00D74E29" w:rsidP="00D10166">
            <w:pPr>
              <w:spacing w:before="40" w:after="40"/>
              <w:rPr>
                <w:rFonts w:ascii="Century Gothic" w:hAnsi="Century Gothic"/>
              </w:rPr>
            </w:pPr>
            <w:r w:rsidRPr="00BA445D">
              <w:rPr>
                <w:rFonts w:ascii="Century Gothic" w:hAnsi="Century Gothic"/>
              </w:rPr>
              <w:t>How we put those core components together in a way that makes sure we achieve the goals of RoVE. This will show high level structure without the detail of individual roles.</w:t>
            </w:r>
          </w:p>
        </w:tc>
      </w:tr>
      <w:tr w:rsidR="00D74E29" w:rsidRPr="00BA445D" w14:paraId="0BFBA81D" w14:textId="77777777" w:rsidTr="009C52B5">
        <w:tc>
          <w:tcPr>
            <w:tcW w:w="2405" w:type="dxa"/>
          </w:tcPr>
          <w:p w14:paraId="50F635C0" w14:textId="715E44ED" w:rsidR="00D74E29" w:rsidRPr="00BA445D" w:rsidRDefault="00D74E29" w:rsidP="00D10166">
            <w:pPr>
              <w:spacing w:before="40" w:after="40"/>
              <w:rPr>
                <w:rFonts w:ascii="Century Gothic" w:hAnsi="Century Gothic"/>
              </w:rPr>
            </w:pPr>
            <w:r w:rsidRPr="00BA445D">
              <w:rPr>
                <w:rFonts w:ascii="Century Gothic" w:hAnsi="Century Gothic"/>
              </w:rPr>
              <w:t>Organisation structure</w:t>
            </w:r>
          </w:p>
        </w:tc>
        <w:tc>
          <w:tcPr>
            <w:tcW w:w="6611" w:type="dxa"/>
          </w:tcPr>
          <w:p w14:paraId="1078F92B" w14:textId="7FE90033" w:rsidR="00D74E29" w:rsidRPr="00BA445D" w:rsidRDefault="00D74E29" w:rsidP="00D10166">
            <w:pPr>
              <w:spacing w:before="40" w:after="40"/>
              <w:rPr>
                <w:rFonts w:ascii="Century Gothic" w:hAnsi="Century Gothic"/>
              </w:rPr>
            </w:pPr>
            <w:r w:rsidRPr="00BA445D">
              <w:rPr>
                <w:rFonts w:ascii="Century Gothic" w:hAnsi="Century Gothic"/>
              </w:rPr>
              <w:t>Shows how teams and roles contribute to the whole. Includes more detail, organisation structure and role descriptions.</w:t>
            </w:r>
          </w:p>
        </w:tc>
      </w:tr>
      <w:tr w:rsidR="00D74E29" w:rsidRPr="00BA445D" w14:paraId="3215B0C5" w14:textId="77777777" w:rsidTr="009C52B5">
        <w:tc>
          <w:tcPr>
            <w:tcW w:w="2405" w:type="dxa"/>
          </w:tcPr>
          <w:p w14:paraId="42B1C443" w14:textId="5F09E7CF" w:rsidR="00D74E29" w:rsidRPr="00BA445D" w:rsidRDefault="00D74E29" w:rsidP="00D10166">
            <w:pPr>
              <w:spacing w:before="40" w:after="40"/>
              <w:rPr>
                <w:rFonts w:ascii="Century Gothic" w:hAnsi="Century Gothic"/>
              </w:rPr>
            </w:pPr>
            <w:r w:rsidRPr="00BA445D">
              <w:rPr>
                <w:rFonts w:ascii="Century Gothic" w:hAnsi="Century Gothic"/>
              </w:rPr>
              <w:t>Programme</w:t>
            </w:r>
          </w:p>
        </w:tc>
        <w:tc>
          <w:tcPr>
            <w:tcW w:w="6611" w:type="dxa"/>
          </w:tcPr>
          <w:p w14:paraId="38C32957" w14:textId="67D88509" w:rsidR="00D74E29" w:rsidRPr="00BA445D" w:rsidRDefault="00D74E29" w:rsidP="00D10166">
            <w:pPr>
              <w:spacing w:before="40" w:after="40"/>
              <w:rPr>
                <w:rFonts w:ascii="Century Gothic" w:hAnsi="Century Gothic"/>
              </w:rPr>
            </w:pPr>
            <w:r w:rsidRPr="00BA445D">
              <w:rPr>
                <w:rFonts w:ascii="Century Gothic" w:hAnsi="Century Gothic"/>
              </w:rPr>
              <w:t>A coherent arrangement of learning or training that is based on clearly linked aims, outcomes, content, and assessment practices leading to qualifications listed on the NZQF.</w:t>
            </w:r>
          </w:p>
        </w:tc>
      </w:tr>
      <w:tr w:rsidR="00D74E29" w:rsidRPr="00BA445D" w14:paraId="507E74AA" w14:textId="77777777" w:rsidTr="009C52B5">
        <w:tc>
          <w:tcPr>
            <w:tcW w:w="2405" w:type="dxa"/>
          </w:tcPr>
          <w:p w14:paraId="7DE4C6F4" w14:textId="666102AD" w:rsidR="00D74E29" w:rsidRPr="00BA445D" w:rsidRDefault="00D74E29" w:rsidP="00D10166">
            <w:pPr>
              <w:spacing w:before="40" w:after="40"/>
              <w:rPr>
                <w:rFonts w:ascii="Century Gothic" w:hAnsi="Century Gothic"/>
              </w:rPr>
            </w:pPr>
            <w:r w:rsidRPr="00BA445D">
              <w:rPr>
                <w:rFonts w:ascii="Century Gothic" w:hAnsi="Century Gothic"/>
              </w:rPr>
              <w:t xml:space="preserve">Qualification </w:t>
            </w:r>
          </w:p>
        </w:tc>
        <w:tc>
          <w:tcPr>
            <w:tcW w:w="6611" w:type="dxa"/>
          </w:tcPr>
          <w:p w14:paraId="4CB17FBE" w14:textId="3A6C200D" w:rsidR="00D74E29" w:rsidRPr="00BA445D" w:rsidRDefault="00D74E29" w:rsidP="00D10166">
            <w:pPr>
              <w:spacing w:before="40" w:after="40"/>
              <w:rPr>
                <w:rFonts w:ascii="Century Gothic" w:hAnsi="Century Gothic"/>
              </w:rPr>
            </w:pPr>
            <w:r w:rsidRPr="00BA445D">
              <w:rPr>
                <w:rFonts w:ascii="Century Gothic" w:hAnsi="Century Gothic"/>
              </w:rPr>
              <w:t>A qualification recognises the achievement of a set of learning outcomes for a particular purpose through formal certification.</w:t>
            </w:r>
          </w:p>
        </w:tc>
      </w:tr>
      <w:tr w:rsidR="00284BC9" w:rsidRPr="00BA445D" w14:paraId="4AE91BB5" w14:textId="77777777" w:rsidTr="009C52B5">
        <w:tc>
          <w:tcPr>
            <w:tcW w:w="2405" w:type="dxa"/>
          </w:tcPr>
          <w:p w14:paraId="050555D0" w14:textId="2E026962" w:rsidR="00284BC9" w:rsidRPr="00BA445D" w:rsidRDefault="006915DE" w:rsidP="00D10166">
            <w:pPr>
              <w:spacing w:before="40" w:after="40"/>
              <w:rPr>
                <w:rFonts w:ascii="Century Gothic" w:hAnsi="Century Gothic"/>
              </w:rPr>
            </w:pPr>
            <w:r>
              <w:rPr>
                <w:rFonts w:ascii="Century Gothic" w:hAnsi="Century Gothic"/>
              </w:rPr>
              <w:t xml:space="preserve">Regional Collective Impact Initiatives </w:t>
            </w:r>
          </w:p>
        </w:tc>
        <w:tc>
          <w:tcPr>
            <w:tcW w:w="6611" w:type="dxa"/>
          </w:tcPr>
          <w:p w14:paraId="38B9CC8D" w14:textId="43E3E3BC" w:rsidR="00284BC9" w:rsidRPr="00BA445D" w:rsidRDefault="00EC051A" w:rsidP="00B21F25">
            <w:pPr>
              <w:spacing w:before="40" w:after="40"/>
              <w:rPr>
                <w:rFonts w:ascii="Century Gothic" w:hAnsi="Century Gothic"/>
              </w:rPr>
            </w:pPr>
            <w:r w:rsidRPr="00EC051A">
              <w:rPr>
                <w:rFonts w:ascii="Century Gothic" w:hAnsi="Century Gothic"/>
              </w:rPr>
              <w:t>Regional collective impact initiatives</w:t>
            </w:r>
            <w:r>
              <w:rPr>
                <w:rFonts w:ascii="Century Gothic" w:hAnsi="Century Gothic"/>
              </w:rPr>
              <w:t xml:space="preserve"> </w:t>
            </w:r>
            <w:r w:rsidRPr="00EC051A">
              <w:rPr>
                <w:rFonts w:ascii="Century Gothic" w:hAnsi="Century Gothic"/>
              </w:rPr>
              <w:t>will focus attention on specific outcomes.</w:t>
            </w:r>
            <w:r w:rsidR="002F0132">
              <w:rPr>
                <w:rFonts w:ascii="Century Gothic" w:hAnsi="Century Gothic"/>
              </w:rPr>
              <w:t xml:space="preserve"> They will be design</w:t>
            </w:r>
            <w:r w:rsidR="00EB4C6B">
              <w:rPr>
                <w:rFonts w:ascii="Century Gothic" w:hAnsi="Century Gothic"/>
              </w:rPr>
              <w:t xml:space="preserve">ed to deliver impact at a regional level by championing initiatives specific to a region and/or community. </w:t>
            </w:r>
            <w:r w:rsidRPr="00EC051A">
              <w:rPr>
                <w:rFonts w:ascii="Century Gothic" w:hAnsi="Century Gothic"/>
              </w:rPr>
              <w:t>The collectives are</w:t>
            </w:r>
            <w:r w:rsidR="00B21F25">
              <w:rPr>
                <w:rFonts w:ascii="Century Gothic" w:hAnsi="Century Gothic"/>
              </w:rPr>
              <w:t xml:space="preserve"> </w:t>
            </w:r>
            <w:r w:rsidRPr="00EC051A">
              <w:rPr>
                <w:rFonts w:ascii="Century Gothic" w:hAnsi="Century Gothic"/>
              </w:rPr>
              <w:t>supported by their connections to the wider ecosystem, including Regional</w:t>
            </w:r>
            <w:r w:rsidR="00B21F25">
              <w:rPr>
                <w:rFonts w:ascii="Century Gothic" w:hAnsi="Century Gothic"/>
              </w:rPr>
              <w:t xml:space="preserve"> </w:t>
            </w:r>
            <w:r w:rsidRPr="00EC051A">
              <w:rPr>
                <w:rFonts w:ascii="Century Gothic" w:hAnsi="Century Gothic"/>
              </w:rPr>
              <w:t xml:space="preserve">Skills Leadership Groups (RSLGs), </w:t>
            </w:r>
            <w:proofErr w:type="spellStart"/>
            <w:r w:rsidRPr="00EC051A">
              <w:rPr>
                <w:rFonts w:ascii="Century Gothic" w:hAnsi="Century Gothic"/>
              </w:rPr>
              <w:t>kura</w:t>
            </w:r>
            <w:proofErr w:type="spellEnd"/>
            <w:r w:rsidRPr="00EC051A">
              <w:rPr>
                <w:rFonts w:ascii="Century Gothic" w:hAnsi="Century Gothic"/>
              </w:rPr>
              <w:t xml:space="preserve"> and schools, grassroots community</w:t>
            </w:r>
            <w:r w:rsidR="00B21F25">
              <w:rPr>
                <w:rFonts w:ascii="Century Gothic" w:hAnsi="Century Gothic"/>
              </w:rPr>
              <w:t xml:space="preserve"> </w:t>
            </w:r>
            <w:r w:rsidRPr="00EC051A">
              <w:rPr>
                <w:rFonts w:ascii="Century Gothic" w:hAnsi="Century Gothic"/>
              </w:rPr>
              <w:t>organisations, community leaders and government agencies.</w:t>
            </w:r>
          </w:p>
        </w:tc>
      </w:tr>
      <w:tr w:rsidR="00D74E29" w:rsidRPr="00BA445D" w14:paraId="4CD0F4BF" w14:textId="77777777" w:rsidTr="009C52B5">
        <w:tc>
          <w:tcPr>
            <w:tcW w:w="2405" w:type="dxa"/>
          </w:tcPr>
          <w:p w14:paraId="04263220" w14:textId="5E336DD0" w:rsidR="00D74E29" w:rsidRPr="00BA445D" w:rsidRDefault="00D74E29" w:rsidP="00D10166">
            <w:pPr>
              <w:spacing w:before="40" w:after="40"/>
              <w:rPr>
                <w:rFonts w:ascii="Century Gothic" w:hAnsi="Century Gothic"/>
              </w:rPr>
            </w:pPr>
            <w:r w:rsidRPr="00BA445D">
              <w:rPr>
                <w:rFonts w:ascii="Century Gothic" w:hAnsi="Century Gothic"/>
              </w:rPr>
              <w:t>Regional Skills Leadership Groups (RSLGs)</w:t>
            </w:r>
          </w:p>
        </w:tc>
        <w:tc>
          <w:tcPr>
            <w:tcW w:w="6611" w:type="dxa"/>
          </w:tcPr>
          <w:p w14:paraId="485DAD5F" w14:textId="1752E1C8" w:rsidR="00D74E29" w:rsidRPr="00BA445D" w:rsidRDefault="00D74E29" w:rsidP="00D10166">
            <w:pPr>
              <w:spacing w:before="40" w:after="40"/>
              <w:rPr>
                <w:rFonts w:ascii="Century Gothic" w:hAnsi="Century Gothic"/>
              </w:rPr>
            </w:pPr>
            <w:r w:rsidRPr="00BA445D">
              <w:rPr>
                <w:rFonts w:ascii="Century Gothic" w:hAnsi="Century Gothic"/>
              </w:rPr>
              <w:t>15 RSLGs identify workforce and skills needs in their region, both now and in the future with capability support from MBIE.</w:t>
            </w:r>
          </w:p>
        </w:tc>
      </w:tr>
      <w:tr w:rsidR="00D74E29" w:rsidRPr="00BA445D" w14:paraId="55C5B52D" w14:textId="77777777" w:rsidTr="009C52B5">
        <w:tc>
          <w:tcPr>
            <w:tcW w:w="2405" w:type="dxa"/>
          </w:tcPr>
          <w:p w14:paraId="49E68745" w14:textId="0B129E7E" w:rsidR="00D74E29" w:rsidRPr="00BA445D" w:rsidRDefault="00D74E29" w:rsidP="00D10166">
            <w:pPr>
              <w:spacing w:before="40" w:after="40"/>
              <w:rPr>
                <w:rFonts w:ascii="Century Gothic" w:hAnsi="Century Gothic"/>
              </w:rPr>
            </w:pPr>
            <w:r w:rsidRPr="00BA445D">
              <w:rPr>
                <w:rFonts w:ascii="Century Gothic" w:hAnsi="Century Gothic"/>
              </w:rPr>
              <w:t>RoVE</w:t>
            </w:r>
          </w:p>
        </w:tc>
        <w:tc>
          <w:tcPr>
            <w:tcW w:w="6611" w:type="dxa"/>
          </w:tcPr>
          <w:p w14:paraId="2BE0450C" w14:textId="296940EF" w:rsidR="00D74E29" w:rsidRPr="00BA445D" w:rsidRDefault="00D74E29" w:rsidP="00D10166">
            <w:pPr>
              <w:spacing w:before="40" w:after="40"/>
              <w:rPr>
                <w:rFonts w:ascii="Century Gothic" w:hAnsi="Century Gothic"/>
              </w:rPr>
            </w:pPr>
            <w:r w:rsidRPr="00BA445D">
              <w:rPr>
                <w:rFonts w:ascii="Century Gothic" w:hAnsi="Century Gothic"/>
              </w:rPr>
              <w:t>Reform of the Vocational Education.</w:t>
            </w:r>
          </w:p>
        </w:tc>
      </w:tr>
      <w:tr w:rsidR="00D74E29" w:rsidRPr="00BA445D" w14:paraId="32175617" w14:textId="77777777" w:rsidTr="009C52B5">
        <w:tc>
          <w:tcPr>
            <w:tcW w:w="2405" w:type="dxa"/>
          </w:tcPr>
          <w:p w14:paraId="27A57CE1" w14:textId="6B078AF5" w:rsidR="00D74E29" w:rsidRPr="00BA445D" w:rsidRDefault="00D74E29" w:rsidP="00D10166">
            <w:pPr>
              <w:spacing w:before="40" w:after="40"/>
              <w:rPr>
                <w:rFonts w:ascii="Century Gothic" w:hAnsi="Century Gothic"/>
              </w:rPr>
            </w:pPr>
            <w:r w:rsidRPr="00BA445D">
              <w:rPr>
                <w:rFonts w:ascii="Century Gothic" w:hAnsi="Century Gothic"/>
              </w:rPr>
              <w:t>Service concepts</w:t>
            </w:r>
          </w:p>
        </w:tc>
        <w:tc>
          <w:tcPr>
            <w:tcW w:w="6611" w:type="dxa"/>
          </w:tcPr>
          <w:p w14:paraId="12B48321" w14:textId="546588A3" w:rsidR="00D74E29" w:rsidRPr="00BA445D" w:rsidRDefault="00D74E29" w:rsidP="00D10166">
            <w:pPr>
              <w:spacing w:before="40" w:after="40"/>
              <w:rPr>
                <w:rFonts w:ascii="Century Gothic" w:hAnsi="Century Gothic"/>
              </w:rPr>
            </w:pPr>
            <w:r w:rsidRPr="00BA445D">
              <w:rPr>
                <w:rFonts w:ascii="Century Gothic" w:hAnsi="Century Gothic"/>
              </w:rPr>
              <w:t xml:space="preserve">An idea for a service that Te Pūkenga could provide to learners or employers. These concepts are intended to be bold, big thinking ideas that can solve the problems described in the design opportunities. </w:t>
            </w:r>
          </w:p>
        </w:tc>
      </w:tr>
      <w:tr w:rsidR="00D74E29" w:rsidRPr="00BA445D" w14:paraId="236EE279" w14:textId="77777777" w:rsidTr="009C52B5">
        <w:tc>
          <w:tcPr>
            <w:tcW w:w="2405" w:type="dxa"/>
          </w:tcPr>
          <w:p w14:paraId="4B65D36F" w14:textId="5FFBB6B3" w:rsidR="00D74E29" w:rsidRPr="00BA445D" w:rsidRDefault="00D74E29" w:rsidP="00D10166">
            <w:pPr>
              <w:spacing w:before="40" w:after="40"/>
              <w:rPr>
                <w:rFonts w:ascii="Century Gothic" w:hAnsi="Century Gothic"/>
              </w:rPr>
            </w:pPr>
            <w:r w:rsidRPr="00BA445D">
              <w:rPr>
                <w:rFonts w:ascii="Century Gothic" w:hAnsi="Century Gothic"/>
              </w:rPr>
              <w:t xml:space="preserve">Service model </w:t>
            </w:r>
          </w:p>
        </w:tc>
        <w:tc>
          <w:tcPr>
            <w:tcW w:w="6611" w:type="dxa"/>
          </w:tcPr>
          <w:p w14:paraId="1C6D2D48" w14:textId="0E6782DE" w:rsidR="00D74E29" w:rsidRPr="00BA445D" w:rsidRDefault="00D74E29" w:rsidP="00D10166">
            <w:pPr>
              <w:spacing w:before="40" w:after="40"/>
              <w:rPr>
                <w:rFonts w:ascii="Century Gothic" w:hAnsi="Century Gothic"/>
              </w:rPr>
            </w:pPr>
            <w:r w:rsidRPr="00BA445D">
              <w:rPr>
                <w:rFonts w:ascii="Century Gothic" w:hAnsi="Century Gothic"/>
              </w:rPr>
              <w:t>A description of eight service concepts that enable a different experience for learners, their whānau and employers throughout their journey, as well as staff and Te Tiriti o Waitangi partners.</w:t>
            </w:r>
          </w:p>
        </w:tc>
      </w:tr>
      <w:tr w:rsidR="00561129" w:rsidRPr="00BA445D" w14:paraId="2B2D458C" w14:textId="77777777" w:rsidTr="009C52B5">
        <w:tc>
          <w:tcPr>
            <w:tcW w:w="2405" w:type="dxa"/>
          </w:tcPr>
          <w:p w14:paraId="69988546" w14:textId="33E10D60" w:rsidR="00561129" w:rsidRPr="00BA445D" w:rsidRDefault="00561129" w:rsidP="00D10166">
            <w:pPr>
              <w:spacing w:before="40" w:after="40"/>
              <w:rPr>
                <w:rFonts w:ascii="Century Gothic" w:hAnsi="Century Gothic"/>
              </w:rPr>
            </w:pPr>
            <w:r>
              <w:rPr>
                <w:rFonts w:ascii="Century Gothic" w:hAnsi="Century Gothic"/>
              </w:rPr>
              <w:t>Single</w:t>
            </w:r>
            <w:r w:rsidR="002337D0">
              <w:rPr>
                <w:rFonts w:ascii="Century Gothic" w:hAnsi="Century Gothic"/>
              </w:rPr>
              <w:t>-</w:t>
            </w:r>
            <w:r>
              <w:rPr>
                <w:rFonts w:ascii="Century Gothic" w:hAnsi="Century Gothic"/>
              </w:rPr>
              <w:t>hub network</w:t>
            </w:r>
            <w:r w:rsidR="002337D0">
              <w:rPr>
                <w:rFonts w:ascii="Century Gothic" w:hAnsi="Century Gothic"/>
              </w:rPr>
              <w:t xml:space="preserve"> function</w:t>
            </w:r>
          </w:p>
        </w:tc>
        <w:tc>
          <w:tcPr>
            <w:tcW w:w="6611" w:type="dxa"/>
          </w:tcPr>
          <w:p w14:paraId="07C25664" w14:textId="77777777" w:rsidR="00561129" w:rsidRDefault="002337D0" w:rsidP="00D10166">
            <w:pPr>
              <w:spacing w:before="40" w:after="40"/>
              <w:rPr>
                <w:rFonts w:ascii="Century Gothic" w:hAnsi="Century Gothic"/>
              </w:rPr>
            </w:pPr>
            <w:r>
              <w:rPr>
                <w:rFonts w:ascii="Century Gothic" w:hAnsi="Century Gothic"/>
              </w:rPr>
              <w:t>A s</w:t>
            </w:r>
            <w:r w:rsidRPr="002337D0">
              <w:rPr>
                <w:rFonts w:ascii="Century Gothic" w:hAnsi="Century Gothic"/>
              </w:rPr>
              <w:t xml:space="preserve">ingle-hub network function is intended to be a single point of strategic decision making, oversight and co-ordination.  This does not mean one single location. </w:t>
            </w:r>
          </w:p>
          <w:p w14:paraId="1B3DC14C" w14:textId="70B81E70" w:rsidR="00297255" w:rsidRPr="00BA445D" w:rsidRDefault="00297255" w:rsidP="00D10166">
            <w:pPr>
              <w:spacing w:before="40" w:after="40"/>
              <w:rPr>
                <w:rFonts w:ascii="Century Gothic" w:hAnsi="Century Gothic"/>
              </w:rPr>
            </w:pPr>
            <w:r w:rsidRPr="00297255">
              <w:rPr>
                <w:rFonts w:ascii="Century Gothic" w:hAnsi="Century Gothic"/>
              </w:rPr>
              <w:t>These activities drive quality</w:t>
            </w:r>
            <w:r w:rsidR="00FF24B3">
              <w:rPr>
                <w:rFonts w:ascii="Century Gothic" w:hAnsi="Century Gothic"/>
              </w:rPr>
              <w:t xml:space="preserve"> </w:t>
            </w:r>
            <w:r w:rsidRPr="00297255">
              <w:rPr>
                <w:rFonts w:ascii="Century Gothic" w:hAnsi="Century Gothic"/>
              </w:rPr>
              <w:t>at scale and can be relied upon to deliver a common approach where this is</w:t>
            </w:r>
            <w:r w:rsidR="00FF24B3">
              <w:rPr>
                <w:rFonts w:ascii="Century Gothic" w:hAnsi="Century Gothic"/>
              </w:rPr>
              <w:t xml:space="preserve"> </w:t>
            </w:r>
            <w:r w:rsidRPr="00297255">
              <w:rPr>
                <w:rFonts w:ascii="Century Gothic" w:hAnsi="Century Gothic"/>
              </w:rPr>
              <w:t>necessary to support the learner journey.</w:t>
            </w:r>
          </w:p>
        </w:tc>
      </w:tr>
      <w:tr w:rsidR="00E47588" w:rsidRPr="00BA445D" w14:paraId="557968D3" w14:textId="77777777" w:rsidTr="009C52B5">
        <w:tc>
          <w:tcPr>
            <w:tcW w:w="2405" w:type="dxa"/>
          </w:tcPr>
          <w:p w14:paraId="7DDD6FAC" w14:textId="53294BFA" w:rsidR="00E47588" w:rsidRDefault="00DE72C5" w:rsidP="00D10166">
            <w:pPr>
              <w:spacing w:before="40" w:after="40"/>
              <w:rPr>
                <w:rFonts w:ascii="Century Gothic" w:hAnsi="Century Gothic"/>
              </w:rPr>
            </w:pPr>
            <w:r>
              <w:rPr>
                <w:rFonts w:ascii="Century Gothic" w:hAnsi="Century Gothic"/>
              </w:rPr>
              <w:t>Strategic functions</w:t>
            </w:r>
          </w:p>
        </w:tc>
        <w:tc>
          <w:tcPr>
            <w:tcW w:w="6611" w:type="dxa"/>
          </w:tcPr>
          <w:p w14:paraId="331205E8" w14:textId="01D5EC1C" w:rsidR="00E47588" w:rsidRDefault="00EF186B" w:rsidP="00D10166">
            <w:pPr>
              <w:spacing w:before="40" w:after="40"/>
              <w:rPr>
                <w:rFonts w:ascii="Century Gothic" w:hAnsi="Century Gothic"/>
              </w:rPr>
            </w:pPr>
            <w:r w:rsidRPr="00EF186B">
              <w:rPr>
                <w:rFonts w:ascii="Century Gothic" w:hAnsi="Century Gothic"/>
              </w:rPr>
              <w:t>Strategic functions guide the network and system to form insights that will embed the network’s strategic direction. The functions identify opportunities for innovation, measure the impacts of initiatives and interventions, and essentially the overall network performance.</w:t>
            </w:r>
          </w:p>
        </w:tc>
      </w:tr>
      <w:tr w:rsidR="00D74E29" w:rsidRPr="00BA445D" w14:paraId="2F192738" w14:textId="77777777" w:rsidTr="009C52B5">
        <w:tc>
          <w:tcPr>
            <w:tcW w:w="2405" w:type="dxa"/>
          </w:tcPr>
          <w:p w14:paraId="4F7AC6F8" w14:textId="41595598" w:rsidR="00D74E29" w:rsidRPr="00BA445D" w:rsidRDefault="00D74E29" w:rsidP="00D10166">
            <w:pPr>
              <w:spacing w:before="40" w:after="40"/>
              <w:rPr>
                <w:rFonts w:ascii="Century Gothic" w:hAnsi="Century Gothic"/>
              </w:rPr>
            </w:pPr>
            <w:r w:rsidRPr="00BA445D">
              <w:rPr>
                <w:rFonts w:ascii="Century Gothic" w:hAnsi="Century Gothic"/>
              </w:rPr>
              <w:t>Te Pae Tawhiti</w:t>
            </w:r>
          </w:p>
        </w:tc>
        <w:tc>
          <w:tcPr>
            <w:tcW w:w="6611" w:type="dxa"/>
          </w:tcPr>
          <w:p w14:paraId="342FF6BB" w14:textId="4CC7E82D" w:rsidR="00D74E29" w:rsidRPr="00BA445D" w:rsidRDefault="00D74E29" w:rsidP="00D10166">
            <w:pPr>
              <w:spacing w:before="40" w:after="40"/>
              <w:rPr>
                <w:rFonts w:ascii="Century Gothic" w:hAnsi="Century Gothic"/>
              </w:rPr>
            </w:pPr>
            <w:r w:rsidRPr="00BA445D">
              <w:rPr>
                <w:rFonts w:ascii="Century Gothic" w:hAnsi="Century Gothic"/>
              </w:rPr>
              <w:t>Self-reflective tool developed by Te Pūkenga and used by subsidiaries and Te Pūkenga to monitor and assess how well they are tracking towards Te Tiriti o Waitangi excellence, and achievement of their objectives of demonstrable Te Tiriti o Waitangi o Waitangi Partnerships and Inclusivity and Equity for Māori.</w:t>
            </w:r>
          </w:p>
        </w:tc>
      </w:tr>
      <w:tr w:rsidR="00D74E29" w:rsidRPr="00BA445D" w14:paraId="562BD6A7" w14:textId="77777777" w:rsidTr="009C52B5">
        <w:tc>
          <w:tcPr>
            <w:tcW w:w="2405" w:type="dxa"/>
          </w:tcPr>
          <w:p w14:paraId="7FDE5D2E" w14:textId="68A45260" w:rsidR="00D74E29" w:rsidRPr="00BA445D" w:rsidRDefault="00D74E29" w:rsidP="00D10166">
            <w:pPr>
              <w:spacing w:before="40" w:after="40"/>
              <w:rPr>
                <w:rFonts w:ascii="Century Gothic" w:hAnsi="Century Gothic"/>
              </w:rPr>
            </w:pPr>
            <w:r w:rsidRPr="00BA445D">
              <w:rPr>
                <w:rFonts w:ascii="Century Gothic" w:hAnsi="Century Gothic"/>
              </w:rPr>
              <w:t xml:space="preserve">Te </w:t>
            </w:r>
            <w:proofErr w:type="spellStart"/>
            <w:r w:rsidRPr="00BA445D">
              <w:rPr>
                <w:rFonts w:ascii="Century Gothic" w:hAnsi="Century Gothic"/>
              </w:rPr>
              <w:t>Piko</w:t>
            </w:r>
            <w:proofErr w:type="spellEnd"/>
          </w:p>
        </w:tc>
        <w:tc>
          <w:tcPr>
            <w:tcW w:w="6611" w:type="dxa"/>
          </w:tcPr>
          <w:p w14:paraId="10A99E55" w14:textId="6A9140F1" w:rsidR="00D74E29" w:rsidRPr="00BA445D" w:rsidRDefault="00D74E29" w:rsidP="00D10166">
            <w:pPr>
              <w:spacing w:before="40" w:after="40"/>
              <w:rPr>
                <w:rFonts w:ascii="Century Gothic" w:hAnsi="Century Gothic"/>
              </w:rPr>
            </w:pPr>
            <w:r w:rsidRPr="00BA445D">
              <w:rPr>
                <w:rFonts w:ascii="Century Gothic" w:hAnsi="Century Gothic"/>
              </w:rPr>
              <w:t>Organisational Strategy document of Te Pūkenga.</w:t>
            </w:r>
          </w:p>
        </w:tc>
      </w:tr>
      <w:tr w:rsidR="00D74E29" w:rsidRPr="00BA445D" w14:paraId="31708DD8" w14:textId="77777777" w:rsidTr="009C52B5">
        <w:tc>
          <w:tcPr>
            <w:tcW w:w="2405" w:type="dxa"/>
          </w:tcPr>
          <w:p w14:paraId="49A5C898" w14:textId="54CC7D45" w:rsidR="00D74E29" w:rsidRPr="00BA445D" w:rsidRDefault="00D74E29" w:rsidP="00D10166">
            <w:pPr>
              <w:spacing w:before="40" w:after="40"/>
              <w:rPr>
                <w:rFonts w:ascii="Century Gothic" w:hAnsi="Century Gothic"/>
              </w:rPr>
            </w:pPr>
            <w:r w:rsidRPr="00BA445D">
              <w:rPr>
                <w:rFonts w:ascii="Century Gothic" w:hAnsi="Century Gothic"/>
              </w:rPr>
              <w:t xml:space="preserve">Te Raurau </w:t>
            </w:r>
            <w:proofErr w:type="spellStart"/>
            <w:r w:rsidRPr="00BA445D">
              <w:rPr>
                <w:rFonts w:ascii="Century Gothic" w:hAnsi="Century Gothic"/>
              </w:rPr>
              <w:t>Kaiwhakamai</w:t>
            </w:r>
            <w:proofErr w:type="spellEnd"/>
          </w:p>
        </w:tc>
        <w:tc>
          <w:tcPr>
            <w:tcW w:w="6611" w:type="dxa"/>
          </w:tcPr>
          <w:p w14:paraId="780D4DDA" w14:textId="78B9F96F" w:rsidR="00D74E29" w:rsidRPr="00BA445D" w:rsidRDefault="00D74E29" w:rsidP="00D10166">
            <w:pPr>
              <w:spacing w:before="40" w:after="40"/>
              <w:rPr>
                <w:rFonts w:ascii="Century Gothic" w:hAnsi="Century Gothic"/>
              </w:rPr>
            </w:pPr>
            <w:r w:rsidRPr="00BA445D">
              <w:rPr>
                <w:rFonts w:ascii="Century Gothic" w:hAnsi="Century Gothic"/>
              </w:rPr>
              <w:t>A series of hui with employers, industry representatives and TITO, that took place during July 2021.</w:t>
            </w:r>
          </w:p>
        </w:tc>
      </w:tr>
      <w:tr w:rsidR="00D74E29" w:rsidRPr="00BA445D" w14:paraId="4E61BE43" w14:textId="77777777" w:rsidTr="009C52B5">
        <w:tc>
          <w:tcPr>
            <w:tcW w:w="2405" w:type="dxa"/>
          </w:tcPr>
          <w:p w14:paraId="0AFC4B06" w14:textId="4C1DAA39" w:rsidR="00D74E29" w:rsidRPr="00BA445D" w:rsidRDefault="00D74E29" w:rsidP="00D10166">
            <w:pPr>
              <w:spacing w:before="40" w:after="40"/>
              <w:rPr>
                <w:rFonts w:ascii="Century Gothic" w:hAnsi="Century Gothic"/>
              </w:rPr>
            </w:pPr>
            <w:r w:rsidRPr="00BA445D">
              <w:rPr>
                <w:rFonts w:ascii="Century Gothic" w:hAnsi="Century Gothic"/>
              </w:rPr>
              <w:t>Te Rito</w:t>
            </w:r>
          </w:p>
        </w:tc>
        <w:tc>
          <w:tcPr>
            <w:tcW w:w="6611" w:type="dxa"/>
          </w:tcPr>
          <w:p w14:paraId="3151A597" w14:textId="0D6B3E2B" w:rsidR="00BA445D" w:rsidRPr="00BA445D" w:rsidRDefault="001A2861" w:rsidP="00D10166">
            <w:pPr>
              <w:spacing w:before="40" w:after="40"/>
              <w:rPr>
                <w:rFonts w:ascii="Century Gothic" w:hAnsi="Century Gothic"/>
              </w:rPr>
            </w:pPr>
            <w:hyperlink r:id="rId9" w:history="1">
              <w:r w:rsidR="001B606D" w:rsidRPr="001A2861">
                <w:rPr>
                  <w:rStyle w:val="Hyperlink"/>
                  <w:rFonts w:ascii="Century Gothic" w:hAnsi="Century Gothic"/>
                </w:rPr>
                <w:t xml:space="preserve">Insight </w:t>
              </w:r>
              <w:r w:rsidR="00BA445D" w:rsidRPr="001A2861" w:rsidDel="00152F3A">
                <w:rPr>
                  <w:rStyle w:val="Hyperlink"/>
                  <w:rFonts w:ascii="Century Gothic" w:hAnsi="Century Gothic"/>
                </w:rPr>
                <w:t>r</w:t>
              </w:r>
              <w:r w:rsidR="00BA445D" w:rsidRPr="001A2861">
                <w:rPr>
                  <w:rStyle w:val="Hyperlink"/>
                  <w:rFonts w:ascii="Century Gothic" w:hAnsi="Century Gothic"/>
                </w:rPr>
                <w:t>eports</w:t>
              </w:r>
            </w:hyperlink>
            <w:r w:rsidR="00BA445D" w:rsidRPr="00BA445D">
              <w:rPr>
                <w:rFonts w:ascii="Century Gothic" w:hAnsi="Century Gothic"/>
              </w:rPr>
              <w:t xml:space="preserve"> on the experience of underserved learners,</w:t>
            </w:r>
          </w:p>
          <w:p w14:paraId="0BD6E6D2" w14:textId="48E209A6" w:rsidR="00D74E29" w:rsidRPr="00BA445D" w:rsidRDefault="00BA445D" w:rsidP="00D10166">
            <w:pPr>
              <w:spacing w:before="40" w:after="40"/>
              <w:rPr>
                <w:rFonts w:ascii="Century Gothic" w:hAnsi="Century Gothic"/>
              </w:rPr>
            </w:pPr>
            <w:r w:rsidRPr="00BA445D">
              <w:rPr>
                <w:rFonts w:ascii="Century Gothic" w:hAnsi="Century Gothic"/>
              </w:rPr>
              <w:t>to identify opportunities to enhance their success.</w:t>
            </w:r>
          </w:p>
        </w:tc>
      </w:tr>
      <w:tr w:rsidR="002D431F" w:rsidRPr="00BA445D" w14:paraId="61F6AD59" w14:textId="77777777" w:rsidTr="009C52B5">
        <w:tc>
          <w:tcPr>
            <w:tcW w:w="2405" w:type="dxa"/>
          </w:tcPr>
          <w:p w14:paraId="59049E10" w14:textId="0F88878C" w:rsidR="002D431F" w:rsidRPr="00BA445D" w:rsidRDefault="002D431F" w:rsidP="00D10166">
            <w:pPr>
              <w:spacing w:before="40" w:after="40"/>
              <w:rPr>
                <w:rFonts w:ascii="Century Gothic" w:hAnsi="Century Gothic"/>
              </w:rPr>
            </w:pPr>
            <w:r>
              <w:rPr>
                <w:rFonts w:ascii="Century Gothic" w:hAnsi="Century Gothic"/>
              </w:rPr>
              <w:t>Teaching, learning, support and navigation functions</w:t>
            </w:r>
          </w:p>
        </w:tc>
        <w:tc>
          <w:tcPr>
            <w:tcW w:w="6611" w:type="dxa"/>
          </w:tcPr>
          <w:p w14:paraId="2130A355" w14:textId="23C4FA25" w:rsidR="002D431F" w:rsidRPr="00BA445D" w:rsidRDefault="002D431F" w:rsidP="00D10166">
            <w:pPr>
              <w:spacing w:before="40" w:after="40"/>
              <w:rPr>
                <w:rFonts w:ascii="Century Gothic" w:hAnsi="Century Gothic"/>
              </w:rPr>
            </w:pPr>
            <w:r w:rsidRPr="002D431F">
              <w:rPr>
                <w:rFonts w:ascii="Century Gothic" w:hAnsi="Century Gothic"/>
              </w:rPr>
              <w:t>Teaching, learning, support and navigation functions for successful learner and employer journeys. These functions determine how we interact directly with learners, their whānau, and employers to deliver high quality education and effective holistic wellbeing support. We orient the whole model towards these functions, to ensure that the needs of our learners and their whānau remain at the centre of what we do.</w:t>
            </w:r>
          </w:p>
        </w:tc>
      </w:tr>
      <w:tr w:rsidR="00D74E29" w:rsidRPr="00BA445D" w14:paraId="2376B218" w14:textId="77777777" w:rsidTr="009C52B5">
        <w:tc>
          <w:tcPr>
            <w:tcW w:w="2405" w:type="dxa"/>
          </w:tcPr>
          <w:p w14:paraId="4B06B73E" w14:textId="518A9EA4" w:rsidR="00D74E29" w:rsidRPr="00BA445D" w:rsidRDefault="00BA445D" w:rsidP="00D10166">
            <w:pPr>
              <w:spacing w:before="40" w:after="40"/>
              <w:rPr>
                <w:rFonts w:ascii="Century Gothic" w:hAnsi="Century Gothic"/>
              </w:rPr>
            </w:pPr>
            <w:r w:rsidRPr="00BA445D">
              <w:rPr>
                <w:rFonts w:ascii="Century Gothic" w:hAnsi="Century Gothic"/>
              </w:rPr>
              <w:t>Three awa</w:t>
            </w:r>
          </w:p>
        </w:tc>
        <w:tc>
          <w:tcPr>
            <w:tcW w:w="6611" w:type="dxa"/>
          </w:tcPr>
          <w:p w14:paraId="5BB0AA00" w14:textId="1E95D667" w:rsidR="00D74E29" w:rsidRPr="00BA445D" w:rsidRDefault="00BA445D" w:rsidP="00D10166">
            <w:pPr>
              <w:spacing w:before="40" w:after="40"/>
              <w:rPr>
                <w:rFonts w:ascii="Century Gothic" w:hAnsi="Century Gothic"/>
              </w:rPr>
            </w:pPr>
            <w:r w:rsidRPr="00BA445D">
              <w:rPr>
                <w:rFonts w:ascii="Century Gothic" w:hAnsi="Century Gothic"/>
              </w:rPr>
              <w:t>A visualisation of the streams of inquiry and discussion that informed the HLCD and then the proposed Operating Model.</w:t>
            </w:r>
          </w:p>
        </w:tc>
      </w:tr>
      <w:tr w:rsidR="00D74E29" w:rsidRPr="00BA445D" w14:paraId="7818144D" w14:textId="77777777" w:rsidTr="009C52B5">
        <w:tc>
          <w:tcPr>
            <w:tcW w:w="2405" w:type="dxa"/>
          </w:tcPr>
          <w:p w14:paraId="7A0C76E1" w14:textId="3879C16A" w:rsidR="00D74E29" w:rsidRPr="00BA445D" w:rsidRDefault="00BA445D" w:rsidP="00D10166">
            <w:pPr>
              <w:spacing w:before="40" w:after="40"/>
              <w:rPr>
                <w:rFonts w:ascii="Century Gothic" w:hAnsi="Century Gothic"/>
              </w:rPr>
            </w:pPr>
            <w:r w:rsidRPr="00BA445D">
              <w:rPr>
                <w:rFonts w:ascii="Century Gothic" w:hAnsi="Century Gothic"/>
              </w:rPr>
              <w:t>TITO</w:t>
            </w:r>
          </w:p>
        </w:tc>
        <w:tc>
          <w:tcPr>
            <w:tcW w:w="6611" w:type="dxa"/>
          </w:tcPr>
          <w:p w14:paraId="4B398109" w14:textId="71AD86D4" w:rsidR="00D74E29" w:rsidRPr="00BA445D" w:rsidRDefault="00BA445D" w:rsidP="00D10166">
            <w:pPr>
              <w:spacing w:before="40" w:after="40"/>
              <w:rPr>
                <w:rFonts w:ascii="Century Gothic" w:hAnsi="Century Gothic"/>
              </w:rPr>
            </w:pPr>
            <w:r w:rsidRPr="00BA445D">
              <w:rPr>
                <w:rFonts w:ascii="Century Gothic" w:hAnsi="Century Gothic"/>
              </w:rPr>
              <w:t>Transitional Industry Training Organisations.</w:t>
            </w:r>
          </w:p>
        </w:tc>
      </w:tr>
      <w:tr w:rsidR="00D74E29" w:rsidRPr="00BA445D" w14:paraId="1C7EE666" w14:textId="77777777" w:rsidTr="009C52B5">
        <w:tc>
          <w:tcPr>
            <w:tcW w:w="2405" w:type="dxa"/>
          </w:tcPr>
          <w:p w14:paraId="68A82A74" w14:textId="2098B6C2" w:rsidR="00D74E29" w:rsidRPr="00BA445D" w:rsidRDefault="00BA445D" w:rsidP="00D10166">
            <w:pPr>
              <w:spacing w:before="40" w:after="40"/>
              <w:rPr>
                <w:rFonts w:ascii="Century Gothic" w:hAnsi="Century Gothic"/>
              </w:rPr>
            </w:pPr>
            <w:r w:rsidRPr="00BA445D">
              <w:rPr>
                <w:rFonts w:ascii="Century Gothic" w:hAnsi="Century Gothic"/>
              </w:rPr>
              <w:t>Workforce Development Councils (WDCs)</w:t>
            </w:r>
          </w:p>
        </w:tc>
        <w:tc>
          <w:tcPr>
            <w:tcW w:w="6611" w:type="dxa"/>
          </w:tcPr>
          <w:p w14:paraId="16718819" w14:textId="7493EF27" w:rsidR="00D74E29" w:rsidRPr="00BA445D" w:rsidRDefault="00BA445D" w:rsidP="00D10166">
            <w:pPr>
              <w:spacing w:before="40" w:after="40"/>
              <w:rPr>
                <w:rFonts w:ascii="Century Gothic" w:hAnsi="Century Gothic"/>
              </w:rPr>
            </w:pPr>
            <w:r w:rsidRPr="00BA445D">
              <w:rPr>
                <w:rFonts w:ascii="Century Gothic" w:hAnsi="Century Gothic"/>
              </w:rPr>
              <w:t>6 WDCs represent industry and direct education development and delivery so the system delivers skills needs.</w:t>
            </w:r>
          </w:p>
        </w:tc>
      </w:tr>
    </w:tbl>
    <w:p w14:paraId="282F6D68" w14:textId="77777777" w:rsidR="00D74E29" w:rsidRPr="00BA445D" w:rsidRDefault="00D74E29">
      <w:pPr>
        <w:rPr>
          <w:rFonts w:ascii="Century Gothic" w:hAnsi="Century Gothic"/>
        </w:rPr>
      </w:pPr>
    </w:p>
    <w:sectPr w:rsidR="00D74E29" w:rsidRPr="00BA4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6C1"/>
    <w:multiLevelType w:val="hybridMultilevel"/>
    <w:tmpl w:val="190EB004"/>
    <w:lvl w:ilvl="0" w:tplc="104CA600">
      <w:start w:val="1"/>
      <w:numFmt w:val="bullet"/>
      <w:lvlText w:val="•"/>
      <w:lvlJc w:val="left"/>
      <w:pPr>
        <w:tabs>
          <w:tab w:val="num" w:pos="720"/>
        </w:tabs>
        <w:ind w:left="720" w:hanging="360"/>
      </w:pPr>
      <w:rPr>
        <w:rFonts w:ascii="Arial" w:hAnsi="Arial" w:hint="default"/>
      </w:rPr>
    </w:lvl>
    <w:lvl w:ilvl="1" w:tplc="E1B0B30E" w:tentative="1">
      <w:start w:val="1"/>
      <w:numFmt w:val="bullet"/>
      <w:lvlText w:val="•"/>
      <w:lvlJc w:val="left"/>
      <w:pPr>
        <w:tabs>
          <w:tab w:val="num" w:pos="1440"/>
        </w:tabs>
        <w:ind w:left="1440" w:hanging="360"/>
      </w:pPr>
      <w:rPr>
        <w:rFonts w:ascii="Arial" w:hAnsi="Arial" w:hint="default"/>
      </w:rPr>
    </w:lvl>
    <w:lvl w:ilvl="2" w:tplc="D33AF344" w:tentative="1">
      <w:start w:val="1"/>
      <w:numFmt w:val="bullet"/>
      <w:lvlText w:val="•"/>
      <w:lvlJc w:val="left"/>
      <w:pPr>
        <w:tabs>
          <w:tab w:val="num" w:pos="2160"/>
        </w:tabs>
        <w:ind w:left="2160" w:hanging="360"/>
      </w:pPr>
      <w:rPr>
        <w:rFonts w:ascii="Arial" w:hAnsi="Arial" w:hint="default"/>
      </w:rPr>
    </w:lvl>
    <w:lvl w:ilvl="3" w:tplc="1048DB3C" w:tentative="1">
      <w:start w:val="1"/>
      <w:numFmt w:val="bullet"/>
      <w:lvlText w:val="•"/>
      <w:lvlJc w:val="left"/>
      <w:pPr>
        <w:tabs>
          <w:tab w:val="num" w:pos="2880"/>
        </w:tabs>
        <w:ind w:left="2880" w:hanging="360"/>
      </w:pPr>
      <w:rPr>
        <w:rFonts w:ascii="Arial" w:hAnsi="Arial" w:hint="default"/>
      </w:rPr>
    </w:lvl>
    <w:lvl w:ilvl="4" w:tplc="31C4A328" w:tentative="1">
      <w:start w:val="1"/>
      <w:numFmt w:val="bullet"/>
      <w:lvlText w:val="•"/>
      <w:lvlJc w:val="left"/>
      <w:pPr>
        <w:tabs>
          <w:tab w:val="num" w:pos="3600"/>
        </w:tabs>
        <w:ind w:left="3600" w:hanging="360"/>
      </w:pPr>
      <w:rPr>
        <w:rFonts w:ascii="Arial" w:hAnsi="Arial" w:hint="default"/>
      </w:rPr>
    </w:lvl>
    <w:lvl w:ilvl="5" w:tplc="B2EED8F2" w:tentative="1">
      <w:start w:val="1"/>
      <w:numFmt w:val="bullet"/>
      <w:lvlText w:val="•"/>
      <w:lvlJc w:val="left"/>
      <w:pPr>
        <w:tabs>
          <w:tab w:val="num" w:pos="4320"/>
        </w:tabs>
        <w:ind w:left="4320" w:hanging="360"/>
      </w:pPr>
      <w:rPr>
        <w:rFonts w:ascii="Arial" w:hAnsi="Arial" w:hint="default"/>
      </w:rPr>
    </w:lvl>
    <w:lvl w:ilvl="6" w:tplc="6840F878" w:tentative="1">
      <w:start w:val="1"/>
      <w:numFmt w:val="bullet"/>
      <w:lvlText w:val="•"/>
      <w:lvlJc w:val="left"/>
      <w:pPr>
        <w:tabs>
          <w:tab w:val="num" w:pos="5040"/>
        </w:tabs>
        <w:ind w:left="5040" w:hanging="360"/>
      </w:pPr>
      <w:rPr>
        <w:rFonts w:ascii="Arial" w:hAnsi="Arial" w:hint="default"/>
      </w:rPr>
    </w:lvl>
    <w:lvl w:ilvl="7" w:tplc="99DC17F0" w:tentative="1">
      <w:start w:val="1"/>
      <w:numFmt w:val="bullet"/>
      <w:lvlText w:val="•"/>
      <w:lvlJc w:val="left"/>
      <w:pPr>
        <w:tabs>
          <w:tab w:val="num" w:pos="5760"/>
        </w:tabs>
        <w:ind w:left="5760" w:hanging="360"/>
      </w:pPr>
      <w:rPr>
        <w:rFonts w:ascii="Arial" w:hAnsi="Arial" w:hint="default"/>
      </w:rPr>
    </w:lvl>
    <w:lvl w:ilvl="8" w:tplc="CC9404D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29"/>
    <w:rsid w:val="001135B4"/>
    <w:rsid w:val="001430B2"/>
    <w:rsid w:val="0014404D"/>
    <w:rsid w:val="00152F3A"/>
    <w:rsid w:val="00171CDE"/>
    <w:rsid w:val="00180915"/>
    <w:rsid w:val="001A2861"/>
    <w:rsid w:val="001B606D"/>
    <w:rsid w:val="001F4356"/>
    <w:rsid w:val="0020051D"/>
    <w:rsid w:val="002337D0"/>
    <w:rsid w:val="00284BC9"/>
    <w:rsid w:val="00297255"/>
    <w:rsid w:val="002D431F"/>
    <w:rsid w:val="002F0132"/>
    <w:rsid w:val="003236FA"/>
    <w:rsid w:val="003C721B"/>
    <w:rsid w:val="0040104D"/>
    <w:rsid w:val="005335A4"/>
    <w:rsid w:val="00552127"/>
    <w:rsid w:val="00561129"/>
    <w:rsid w:val="00562CE3"/>
    <w:rsid w:val="00567E77"/>
    <w:rsid w:val="005E2FB7"/>
    <w:rsid w:val="006915DE"/>
    <w:rsid w:val="00713D30"/>
    <w:rsid w:val="00856E64"/>
    <w:rsid w:val="00866599"/>
    <w:rsid w:val="008827A5"/>
    <w:rsid w:val="008D23C3"/>
    <w:rsid w:val="008E440C"/>
    <w:rsid w:val="009442E8"/>
    <w:rsid w:val="00957B80"/>
    <w:rsid w:val="009C52B5"/>
    <w:rsid w:val="00A308D3"/>
    <w:rsid w:val="00AB7780"/>
    <w:rsid w:val="00B21F25"/>
    <w:rsid w:val="00B916B3"/>
    <w:rsid w:val="00BA445D"/>
    <w:rsid w:val="00C95A2D"/>
    <w:rsid w:val="00CF6EB3"/>
    <w:rsid w:val="00D10166"/>
    <w:rsid w:val="00D200B9"/>
    <w:rsid w:val="00D460A8"/>
    <w:rsid w:val="00D74E29"/>
    <w:rsid w:val="00DE3794"/>
    <w:rsid w:val="00DE3D74"/>
    <w:rsid w:val="00DE72C5"/>
    <w:rsid w:val="00E47588"/>
    <w:rsid w:val="00EB4C6B"/>
    <w:rsid w:val="00EC051A"/>
    <w:rsid w:val="00ED2700"/>
    <w:rsid w:val="00EF186B"/>
    <w:rsid w:val="00EF30EF"/>
    <w:rsid w:val="00FF24B3"/>
    <w:rsid w:val="037993CC"/>
    <w:rsid w:val="072A196B"/>
    <w:rsid w:val="0977EDE7"/>
    <w:rsid w:val="140AD769"/>
    <w:rsid w:val="19C7B12D"/>
    <w:rsid w:val="26CBA9D3"/>
    <w:rsid w:val="39F826A6"/>
    <w:rsid w:val="55776FCF"/>
    <w:rsid w:val="5D4A3CAD"/>
    <w:rsid w:val="66CA15BE"/>
    <w:rsid w:val="78C985D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978D"/>
  <w15:chartTrackingRefBased/>
  <w15:docId w15:val="{A2AEE0E3-3D3E-463B-9EDD-71C2BD2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60A8"/>
    <w:rPr>
      <w:sz w:val="16"/>
      <w:szCs w:val="16"/>
    </w:rPr>
  </w:style>
  <w:style w:type="paragraph" w:styleId="CommentText">
    <w:name w:val="annotation text"/>
    <w:basedOn w:val="Normal"/>
    <w:link w:val="CommentTextChar"/>
    <w:uiPriority w:val="99"/>
    <w:semiHidden/>
    <w:unhideWhenUsed/>
    <w:rsid w:val="00D460A8"/>
    <w:pPr>
      <w:spacing w:line="240" w:lineRule="auto"/>
    </w:pPr>
    <w:rPr>
      <w:sz w:val="20"/>
      <w:szCs w:val="20"/>
    </w:rPr>
  </w:style>
  <w:style w:type="character" w:customStyle="1" w:styleId="CommentTextChar">
    <w:name w:val="Comment Text Char"/>
    <w:basedOn w:val="DefaultParagraphFont"/>
    <w:link w:val="CommentText"/>
    <w:uiPriority w:val="99"/>
    <w:semiHidden/>
    <w:rsid w:val="00D460A8"/>
    <w:rPr>
      <w:sz w:val="20"/>
      <w:szCs w:val="20"/>
    </w:rPr>
  </w:style>
  <w:style w:type="paragraph" w:styleId="CommentSubject">
    <w:name w:val="annotation subject"/>
    <w:basedOn w:val="CommentText"/>
    <w:next w:val="CommentText"/>
    <w:link w:val="CommentSubjectChar"/>
    <w:uiPriority w:val="99"/>
    <w:semiHidden/>
    <w:unhideWhenUsed/>
    <w:rsid w:val="00D460A8"/>
    <w:rPr>
      <w:b/>
      <w:bCs/>
    </w:rPr>
  </w:style>
  <w:style w:type="character" w:customStyle="1" w:styleId="CommentSubjectChar">
    <w:name w:val="Comment Subject Char"/>
    <w:basedOn w:val="CommentTextChar"/>
    <w:link w:val="CommentSubject"/>
    <w:uiPriority w:val="99"/>
    <w:semiHidden/>
    <w:rsid w:val="00D460A8"/>
    <w:rPr>
      <w:b/>
      <w:bCs/>
      <w:sz w:val="20"/>
      <w:szCs w:val="20"/>
    </w:rPr>
  </w:style>
  <w:style w:type="character" w:styleId="Hyperlink">
    <w:name w:val="Hyperlink"/>
    <w:basedOn w:val="DefaultParagraphFont"/>
    <w:uiPriority w:val="99"/>
    <w:unhideWhenUsed/>
    <w:rsid w:val="001A2861"/>
    <w:rPr>
      <w:color w:val="0563C1" w:themeColor="hyperlink"/>
      <w:u w:val="single"/>
    </w:rPr>
  </w:style>
  <w:style w:type="character" w:styleId="UnresolvedMention">
    <w:name w:val="Unresolved Mention"/>
    <w:basedOn w:val="DefaultParagraphFont"/>
    <w:uiPriority w:val="99"/>
    <w:semiHidden/>
    <w:unhideWhenUsed/>
    <w:rsid w:val="001A2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31389">
      <w:bodyDiv w:val="1"/>
      <w:marLeft w:val="0"/>
      <w:marRight w:val="0"/>
      <w:marTop w:val="0"/>
      <w:marBottom w:val="0"/>
      <w:divBdr>
        <w:top w:val="none" w:sz="0" w:space="0" w:color="auto"/>
        <w:left w:val="none" w:sz="0" w:space="0" w:color="auto"/>
        <w:bottom w:val="none" w:sz="0" w:space="0" w:color="auto"/>
        <w:right w:val="none" w:sz="0" w:space="0" w:color="auto"/>
      </w:divBdr>
      <w:divsChild>
        <w:div w:id="1044674400">
          <w:marLeft w:val="490"/>
          <w:marRight w:val="0"/>
          <w:marTop w:val="65"/>
          <w:marBottom w:val="65"/>
          <w:divBdr>
            <w:top w:val="none" w:sz="0" w:space="0" w:color="auto"/>
            <w:left w:val="none" w:sz="0" w:space="0" w:color="auto"/>
            <w:bottom w:val="none" w:sz="0" w:space="0" w:color="auto"/>
            <w:right w:val="none" w:sz="0" w:space="0" w:color="auto"/>
          </w:divBdr>
        </w:div>
      </w:divsChild>
    </w:div>
    <w:div w:id="1739094132">
      <w:bodyDiv w:val="1"/>
      <w:marLeft w:val="0"/>
      <w:marRight w:val="0"/>
      <w:marTop w:val="0"/>
      <w:marBottom w:val="0"/>
      <w:divBdr>
        <w:top w:val="none" w:sz="0" w:space="0" w:color="auto"/>
        <w:left w:val="none" w:sz="0" w:space="0" w:color="auto"/>
        <w:bottom w:val="none" w:sz="0" w:space="0" w:color="auto"/>
        <w:right w:val="none" w:sz="0" w:space="0" w:color="auto"/>
      </w:divBdr>
      <w:divsChild>
        <w:div w:id="1245991491">
          <w:marLeft w:val="490"/>
          <w:marRight w:val="0"/>
          <w:marTop w:val="65"/>
          <w:marBottom w:val="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xn--tepkenga-szb.ac.nz/our-pathway/learner-journey-and-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2FB67A2E2334094FA564C6B4A2929" ma:contentTypeVersion="12" ma:contentTypeDescription="Create a new document." ma:contentTypeScope="" ma:versionID="47de61ab16a308006472da49ee7b3091">
  <xsd:schema xmlns:xsd="http://www.w3.org/2001/XMLSchema" xmlns:xs="http://www.w3.org/2001/XMLSchema" xmlns:p="http://schemas.microsoft.com/office/2006/metadata/properties" xmlns:ns2="e72fef00-18cf-489d-b701-389cc51bc38c" xmlns:ns3="6daa3fba-1fe2-43a3-9ea8-e307d360adf3" targetNamespace="http://schemas.microsoft.com/office/2006/metadata/properties" ma:root="true" ma:fieldsID="a7f0669c324f13e64021c7db0bc9f47c" ns2:_="" ns3:_="">
    <xsd:import namespace="e72fef00-18cf-489d-b701-389cc51bc38c"/>
    <xsd:import namespace="6daa3fba-1fe2-43a3-9ea8-e307d360ad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f00-18cf-489d-b701-389cc51bc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a3fba-1fe2-43a3-9ea8-e307d360ad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AD68-B4B0-4BDE-9607-48F2CC28F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f00-18cf-489d-b701-389cc51bc38c"/>
    <ds:schemaRef ds:uri="6daa3fba-1fe2-43a3-9ea8-e307d360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33D05-F523-42B3-A40C-A917FF07D1BD}">
  <ds:schemaRefs>
    <ds:schemaRef ds:uri="http://purl.org/dc/elements/1.1/"/>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daa3fba-1fe2-43a3-9ea8-e307d360adf3"/>
    <ds:schemaRef ds:uri="e72fef00-18cf-489d-b701-389cc51bc38c"/>
  </ds:schemaRefs>
</ds:datastoreItem>
</file>

<file path=customXml/itemProps3.xml><?xml version="1.0" encoding="utf-8"?>
<ds:datastoreItem xmlns:ds="http://schemas.openxmlformats.org/officeDocument/2006/customXml" ds:itemID="{0D75BC5F-6A9A-498C-90A1-D651E369974F}">
  <ds:schemaRefs>
    <ds:schemaRef ds:uri="http://schemas.microsoft.com/sharepoint/v3/contenttype/forms"/>
  </ds:schemaRefs>
</ds:datastoreItem>
</file>

<file path=customXml/itemProps4.xml><?xml version="1.0" encoding="utf-8"?>
<ds:datastoreItem xmlns:ds="http://schemas.openxmlformats.org/officeDocument/2006/customXml" ds:itemID="{78E2108F-FE72-4C19-9C9E-87898499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909</Words>
  <Characters>5184</Characters>
  <Application>Microsoft Office Word</Application>
  <DocSecurity>4</DocSecurity>
  <Lines>43</Lines>
  <Paragraphs>12</Paragraphs>
  <ScaleCrop>false</ScaleCrop>
  <Company/>
  <LinksUpToDate>false</LinksUpToDate>
  <CharactersWithSpaces>6081</CharactersWithSpaces>
  <SharedDoc>false</SharedDoc>
  <HLinks>
    <vt:vector size="6" baseType="variant">
      <vt:variant>
        <vt:i4>20447359</vt:i4>
      </vt:variant>
      <vt:variant>
        <vt:i4>0</vt:i4>
      </vt:variant>
      <vt:variant>
        <vt:i4>0</vt:i4>
      </vt:variant>
      <vt:variant>
        <vt:i4>5</vt:i4>
      </vt:variant>
      <vt:variant>
        <vt:lpwstr>https://tepūkenga.ac.nz/our-pathway/learner-journey-and-experience/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Colgan</dc:creator>
  <cp:keywords/>
  <dc:description/>
  <cp:lastModifiedBy>Natalie Palmer</cp:lastModifiedBy>
  <cp:revision>43</cp:revision>
  <dcterms:created xsi:type="dcterms:W3CDTF">2021-10-15T15:11:00Z</dcterms:created>
  <dcterms:modified xsi:type="dcterms:W3CDTF">2021-10-15T22:03:00Z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0x0101009022FB67A2E2334094FA564C6B4A2929</vt:lpwstr>
  </property>
</Properties>
</file>