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8D" w:rsidRDefault="002F3E79">
      <w:pPr>
        <w:pStyle w:val="BodyText"/>
        <w:spacing w:before="73"/>
        <w:ind w:left="1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186055</wp:posOffset>
                </wp:positionH>
                <wp:positionV relativeFrom="page">
                  <wp:posOffset>14518640</wp:posOffset>
                </wp:positionV>
                <wp:extent cx="6290310" cy="1270"/>
                <wp:effectExtent l="5080" t="12065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>
                            <a:gd name="T0" fmla="+- 0 293 293"/>
                            <a:gd name="T1" fmla="*/ T0 w 9906"/>
                            <a:gd name="T2" fmla="+- 0 8575 293"/>
                            <a:gd name="T3" fmla="*/ T2 w 9906"/>
                            <a:gd name="T4" fmla="+- 0 8579 293"/>
                            <a:gd name="T5" fmla="*/ T4 w 9906"/>
                            <a:gd name="T6" fmla="+- 0 10199 293"/>
                            <a:gd name="T7" fmla="*/ T6 w 9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6">
                              <a:moveTo>
                                <a:pt x="0" y="0"/>
                              </a:moveTo>
                              <a:lnTo>
                                <a:pt x="8282" y="0"/>
                              </a:lnTo>
                              <a:moveTo>
                                <a:pt x="8286" y="0"/>
                              </a:move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5262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48DD" id="AutoShape 2" o:spid="_x0000_s1026" style="position:absolute;margin-left:14.65pt;margin-top:1143.2pt;width:495.3pt;height: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" path="m,l8282,t4,l9906,e" filled="f" strokecolor="#52627c" strokeweight=".45pt">
                <v:path arrowok="t" o:connecttype="custom" o:connectlocs="0,0;5259070,0;5261610,0;6290310,0" o:connectangles="0,0,0,0"/>
                <w10:wrap anchorx="page" anchory="page"/>
              </v:shape>
            </w:pict>
          </mc:Fallback>
        </mc:AlternateContent>
      </w:r>
      <w:r w:rsidR="00ED472E">
        <w:t>Table of Project workstreams</w:t>
      </w:r>
    </w:p>
    <w:p w:rsidR="00997B8D" w:rsidRDefault="00997B8D">
      <w:pPr>
        <w:spacing w:before="3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3073"/>
        <w:gridCol w:w="8740"/>
        <w:gridCol w:w="1667"/>
      </w:tblGrid>
      <w:tr w:rsidR="00997B8D">
        <w:trPr>
          <w:trHeight w:val="585"/>
        </w:trPr>
        <w:tc>
          <w:tcPr>
            <w:tcW w:w="1976" w:type="dxa"/>
            <w:shd w:val="clear" w:color="auto" w:fill="BBD4EC"/>
          </w:tcPr>
          <w:p w:rsidR="00997B8D" w:rsidRDefault="00ED472E">
            <w:pPr>
              <w:pStyle w:val="TableParagraph"/>
              <w:spacing w:before="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Workstream name</w:t>
            </w:r>
          </w:p>
        </w:tc>
        <w:tc>
          <w:tcPr>
            <w:tcW w:w="3073" w:type="dxa"/>
            <w:shd w:val="clear" w:color="auto" w:fill="BBD4EC"/>
          </w:tcPr>
          <w:p w:rsidR="00997B8D" w:rsidRDefault="00ED472E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  <w:tc>
          <w:tcPr>
            <w:tcW w:w="8740" w:type="dxa"/>
            <w:shd w:val="clear" w:color="auto" w:fill="BBD4EC"/>
          </w:tcPr>
          <w:p w:rsidR="00997B8D" w:rsidRDefault="00ED472E">
            <w:pPr>
              <w:pStyle w:val="TableParagraph"/>
              <w:spacing w:before="5"/>
              <w:ind w:right="217"/>
              <w:rPr>
                <w:sz w:val="19"/>
              </w:rPr>
            </w:pPr>
            <w:r>
              <w:rPr>
                <w:b/>
                <w:sz w:val="19"/>
              </w:rPr>
              <w:t xml:space="preserve">Focus of reports to NZIST </w:t>
            </w:r>
            <w:r>
              <w:rPr>
                <w:sz w:val="19"/>
              </w:rPr>
              <w:t>(purpose, what they aim to achieve, starting point for NZIST thinking)</w:t>
            </w:r>
          </w:p>
        </w:tc>
        <w:tc>
          <w:tcPr>
            <w:tcW w:w="1667" w:type="dxa"/>
            <w:shd w:val="clear" w:color="auto" w:fill="BBD4EC"/>
          </w:tcPr>
          <w:p w:rsidR="00997B8D" w:rsidRDefault="00ED472E" w:rsidP="00ED472E">
            <w:pPr>
              <w:pStyle w:val="TableParagraph"/>
              <w:spacing w:before="5"/>
              <w:ind w:left="144" w:right="252"/>
              <w:rPr>
                <w:b/>
                <w:sz w:val="19"/>
              </w:rPr>
            </w:pPr>
            <w:r>
              <w:rPr>
                <w:b/>
                <w:sz w:val="19"/>
              </w:rPr>
              <w:t>Unitec Lead &amp; Members</w:t>
            </w:r>
          </w:p>
        </w:tc>
      </w:tr>
      <w:tr w:rsidR="00997B8D">
        <w:trPr>
          <w:trHeight w:val="2697"/>
        </w:trPr>
        <w:tc>
          <w:tcPr>
            <w:tcW w:w="1976" w:type="dxa"/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Student</w:t>
            </w:r>
          </w:p>
          <w:p w:rsidR="00997B8D" w:rsidRDefault="00ED472E">
            <w:pPr>
              <w:pStyle w:val="TableParagraph"/>
              <w:ind w:left="472"/>
              <w:rPr>
                <w:sz w:val="19"/>
              </w:rPr>
            </w:pPr>
            <w:r>
              <w:rPr>
                <w:sz w:val="19"/>
              </w:rPr>
              <w:t>journey map</w:t>
            </w:r>
          </w:p>
        </w:tc>
        <w:tc>
          <w:tcPr>
            <w:tcW w:w="3073" w:type="dxa"/>
          </w:tcPr>
          <w:p w:rsidR="00997B8D" w:rsidRDefault="00ED472E">
            <w:pPr>
              <w:pStyle w:val="TableParagraph"/>
              <w:spacing w:before="5"/>
              <w:ind w:left="114" w:right="244"/>
              <w:rPr>
                <w:sz w:val="19"/>
              </w:rPr>
            </w:pPr>
            <w:r>
              <w:rPr>
                <w:sz w:val="19"/>
              </w:rPr>
              <w:t>Map(s) real life scenarios of how learners can navigate vocational education to qualification completion and employment, including movement between work, different modes of training delivery, and providers.</w:t>
            </w:r>
          </w:p>
        </w:tc>
        <w:tc>
          <w:tcPr>
            <w:tcW w:w="8740" w:type="dxa"/>
          </w:tcPr>
          <w:p w:rsidR="00997B8D" w:rsidRDefault="00ED472E">
            <w:pPr>
              <w:pStyle w:val="TableParagraph"/>
              <w:spacing w:before="5"/>
              <w:ind w:right="217"/>
              <w:rPr>
                <w:sz w:val="19"/>
              </w:rPr>
            </w:pPr>
            <w:r>
              <w:rPr>
                <w:sz w:val="19"/>
              </w:rPr>
              <w:t xml:space="preserve">Model learner journeys based on consultation with educators, students, </w:t>
            </w:r>
            <w:proofErr w:type="spellStart"/>
            <w:r>
              <w:rPr>
                <w:sz w:val="19"/>
              </w:rPr>
              <w:t>whānau</w:t>
            </w:r>
            <w:proofErr w:type="spellEnd"/>
            <w:r>
              <w:rPr>
                <w:sz w:val="19"/>
              </w:rPr>
              <w:t xml:space="preserve"> and communities.</w:t>
            </w:r>
          </w:p>
          <w:p w:rsidR="00997B8D" w:rsidRDefault="00ED472E">
            <w:pPr>
              <w:pStyle w:val="TableParagraph"/>
              <w:spacing w:before="120"/>
              <w:ind w:right="198"/>
              <w:rPr>
                <w:sz w:val="19"/>
              </w:rPr>
            </w:pPr>
            <w:r>
              <w:rPr>
                <w:sz w:val="19"/>
              </w:rPr>
              <w:t>Include journeys for high priority learners, e.g. Māori, Pacific, students with disabilities, Include trainee and apprentice journeys, with input and testing from ITOs and other industry expertise.</w:t>
            </w:r>
          </w:p>
          <w:p w:rsidR="00997B8D" w:rsidRDefault="00ED472E">
            <w:pPr>
              <w:pStyle w:val="TableParagraph"/>
              <w:spacing w:before="122" w:line="362" w:lineRule="auto"/>
              <w:ind w:right="1417"/>
              <w:rPr>
                <w:sz w:val="19"/>
              </w:rPr>
            </w:pPr>
            <w:r>
              <w:rPr>
                <w:sz w:val="19"/>
              </w:rPr>
              <w:t>What is needed operationally to support the identified student journeys Barriers, e.g. at transition points, and what is needed to remove/reduce them</w:t>
            </w:r>
          </w:p>
          <w:p w:rsidR="00997B8D" w:rsidRDefault="00ED472E">
            <w:pPr>
              <w:pStyle w:val="TableParagraph"/>
              <w:spacing w:before="2"/>
              <w:ind w:right="217"/>
              <w:rPr>
                <w:sz w:val="19"/>
              </w:rPr>
            </w:pPr>
            <w:r>
              <w:rPr>
                <w:sz w:val="19"/>
              </w:rPr>
              <w:t>Better understanding of student journeys may signal where NZIST may need closer working relationships</w:t>
            </w:r>
          </w:p>
        </w:tc>
        <w:tc>
          <w:tcPr>
            <w:tcW w:w="1667" w:type="dxa"/>
          </w:tcPr>
          <w:p w:rsidR="00997B8D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Annette Pitovao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Jonyne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Roger</w:t>
            </w:r>
          </w:p>
          <w:p w:rsidR="002F3E79" w:rsidRDefault="002F3E79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Babar</w:t>
            </w:r>
          </w:p>
          <w:p w:rsidR="008A1B26" w:rsidRDefault="008A1B26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Meena</w:t>
            </w:r>
            <w:proofErr w:type="spellEnd"/>
          </w:p>
        </w:tc>
      </w:tr>
      <w:tr w:rsidR="00997B8D">
        <w:trPr>
          <w:trHeight w:val="1931"/>
        </w:trPr>
        <w:tc>
          <w:tcPr>
            <w:tcW w:w="1976" w:type="dxa"/>
            <w:tcBorders>
              <w:bottom w:val="nil"/>
            </w:tcBorders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5"/>
              <w:ind w:left="472" w:right="216" w:hanging="36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 xml:space="preserve">Employer </w:t>
            </w:r>
            <w:r>
              <w:rPr>
                <w:spacing w:val="-5"/>
                <w:sz w:val="19"/>
              </w:rPr>
              <w:t xml:space="preserve">and </w:t>
            </w:r>
            <w:r>
              <w:rPr>
                <w:sz w:val="19"/>
              </w:rPr>
              <w:t>community engagement model</w:t>
            </w:r>
          </w:p>
        </w:tc>
        <w:tc>
          <w:tcPr>
            <w:tcW w:w="3073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5"/>
              <w:ind w:left="114" w:right="193"/>
              <w:rPr>
                <w:sz w:val="19"/>
              </w:rPr>
            </w:pPr>
            <w:r>
              <w:rPr>
                <w:sz w:val="19"/>
              </w:rPr>
              <w:t>Produce a framework for employer and community engagement that can be used by subsidiary councils, adaptable to requirements of different communities and employer/industry groups</w:t>
            </w:r>
          </w:p>
        </w:tc>
        <w:tc>
          <w:tcPr>
            <w:tcW w:w="8740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5"/>
              <w:ind w:right="217"/>
              <w:rPr>
                <w:sz w:val="19"/>
              </w:rPr>
            </w:pPr>
            <w:r>
              <w:rPr>
                <w:sz w:val="19"/>
              </w:rPr>
              <w:t>Clear understanding of NZIST’s brand of engagement in context of legislation and charter expectations, and fit with RSLGs and WDCs.</w:t>
            </w:r>
          </w:p>
          <w:p w:rsidR="00997B8D" w:rsidRDefault="00ED472E">
            <w:pPr>
              <w:pStyle w:val="TableParagraph"/>
              <w:spacing w:before="120"/>
              <w:ind w:right="340"/>
              <w:rPr>
                <w:sz w:val="19"/>
              </w:rPr>
            </w:pPr>
            <w:r>
              <w:rPr>
                <w:sz w:val="19"/>
              </w:rPr>
              <w:t>Start to address question of how NZIST will utilise subsidiary councils – e.g. community engagement on local needs and delivery seems a good fit; engagement on policies may need different mechanism.</w:t>
            </w:r>
          </w:p>
          <w:p w:rsidR="00997B8D" w:rsidRDefault="00ED472E">
            <w:pPr>
              <w:pStyle w:val="TableParagraph"/>
              <w:spacing w:before="119"/>
              <w:ind w:right="217"/>
              <w:rPr>
                <w:sz w:val="19"/>
              </w:rPr>
            </w:pPr>
            <w:r>
              <w:rPr>
                <w:sz w:val="19"/>
              </w:rPr>
              <w:t>Understanding of what good looks like, strategies shown to works well with a range of communities, with room to adapt locally</w:t>
            </w:r>
          </w:p>
        </w:tc>
        <w:tc>
          <w:tcPr>
            <w:tcW w:w="1667" w:type="dxa"/>
            <w:vMerge w:val="restart"/>
          </w:tcPr>
          <w:p w:rsidR="00997B8D" w:rsidRDefault="00997B8D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rFonts w:ascii="Times New Roman"/>
                <w:sz w:val="18"/>
              </w:rPr>
            </w:pPr>
            <w:r w:rsidRPr="00ED472E">
              <w:rPr>
                <w:sz w:val="19"/>
              </w:rPr>
              <w:t>Craig</w:t>
            </w:r>
            <w:r w:rsidRPr="00ED472E">
              <w:rPr>
                <w:rFonts w:ascii="Times New Roman"/>
                <w:sz w:val="18"/>
              </w:rPr>
              <w:t xml:space="preserve"> </w:t>
            </w:r>
          </w:p>
          <w:p w:rsidR="002F3E79" w:rsidRDefault="002F3E79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 w:rsidRPr="002F3E79">
              <w:rPr>
                <w:sz w:val="19"/>
              </w:rPr>
              <w:t>Babar</w:t>
            </w:r>
          </w:p>
          <w:p w:rsidR="008A1B26" w:rsidRPr="008A1B26" w:rsidRDefault="008A1B26" w:rsidP="008A1B26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Yo</w:t>
            </w:r>
          </w:p>
        </w:tc>
      </w:tr>
      <w:tr w:rsidR="00997B8D">
        <w:trPr>
          <w:trHeight w:val="633"/>
        </w:trPr>
        <w:tc>
          <w:tcPr>
            <w:tcW w:w="1976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</w:tcBorders>
          </w:tcPr>
          <w:p w:rsidR="00997B8D" w:rsidRDefault="00ED472E">
            <w:pPr>
              <w:pStyle w:val="TableParagraph"/>
              <w:spacing w:before="56"/>
              <w:ind w:right="217"/>
              <w:rPr>
                <w:sz w:val="19"/>
              </w:rPr>
            </w:pPr>
            <w:r>
              <w:rPr>
                <w:sz w:val="19"/>
              </w:rPr>
              <w:t>Include specific information on engagement with Māori, Pacific and learners with disabilities, industries.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997B8D" w:rsidRDefault="00997B8D" w:rsidP="00ED472E">
            <w:pPr>
              <w:ind w:left="144"/>
              <w:rPr>
                <w:sz w:val="2"/>
                <w:szCs w:val="2"/>
              </w:rPr>
            </w:pPr>
          </w:p>
        </w:tc>
      </w:tr>
      <w:tr w:rsidR="00997B8D">
        <w:trPr>
          <w:trHeight w:val="2462"/>
        </w:trPr>
        <w:tc>
          <w:tcPr>
            <w:tcW w:w="1976" w:type="dxa"/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8"/>
              <w:ind w:left="472" w:right="256" w:hanging="36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 xml:space="preserve">Education products </w:t>
            </w:r>
            <w:r>
              <w:rPr>
                <w:spacing w:val="-4"/>
                <w:sz w:val="19"/>
              </w:rPr>
              <w:t xml:space="preserve">and </w:t>
            </w:r>
            <w:r>
              <w:rPr>
                <w:sz w:val="19"/>
              </w:rPr>
              <w:t>services</w:t>
            </w:r>
          </w:p>
        </w:tc>
        <w:tc>
          <w:tcPr>
            <w:tcW w:w="3073" w:type="dxa"/>
          </w:tcPr>
          <w:p w:rsidR="00997B8D" w:rsidRDefault="00ED472E">
            <w:pPr>
              <w:pStyle w:val="TableParagraph"/>
              <w:spacing w:before="8"/>
              <w:ind w:left="114" w:right="234"/>
              <w:rPr>
                <w:sz w:val="19"/>
              </w:rPr>
            </w:pPr>
            <w:r>
              <w:rPr>
                <w:sz w:val="19"/>
              </w:rPr>
              <w:t>Develop a high level strategy to support new products to services to support student and employer needs</w:t>
            </w:r>
          </w:p>
        </w:tc>
        <w:tc>
          <w:tcPr>
            <w:tcW w:w="8740" w:type="dxa"/>
          </w:tcPr>
          <w:p w:rsidR="00997B8D" w:rsidRDefault="00ED472E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Develop a strategy of how education P&amp;S can give effect to expectations in legislation and charter, and build NZIST credibility.</w:t>
            </w:r>
          </w:p>
          <w:p w:rsidR="00997B8D" w:rsidRDefault="00ED472E"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Use student journey maps to inform the strategy</w:t>
            </w:r>
          </w:p>
          <w:p w:rsidR="00997B8D" w:rsidRDefault="00ED472E">
            <w:pPr>
              <w:pStyle w:val="TableParagraph"/>
              <w:spacing w:before="120"/>
              <w:ind w:right="217"/>
              <w:rPr>
                <w:sz w:val="19"/>
              </w:rPr>
            </w:pPr>
            <w:r>
              <w:rPr>
                <w:sz w:val="19"/>
              </w:rPr>
              <w:t>Set of priorities for new education P&amp;S that will be useful to NZIST as it starts to form its own brand</w:t>
            </w:r>
          </w:p>
          <w:p w:rsidR="00997B8D" w:rsidRDefault="00ED472E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Include impact of work-based learning transfer into education P&amp;S, with input from ITOs.</w:t>
            </w:r>
          </w:p>
          <w:p w:rsidR="00997B8D" w:rsidRDefault="00ED472E">
            <w:pPr>
              <w:pStyle w:val="TableParagraph"/>
              <w:spacing w:before="120"/>
              <w:ind w:right="607"/>
              <w:rPr>
                <w:sz w:val="19"/>
              </w:rPr>
            </w:pPr>
            <w:r>
              <w:rPr>
                <w:sz w:val="19"/>
              </w:rPr>
              <w:t>Start of analysis of needs and priorities via regional and student group lenses – strategic approach to starting development, identify any immediate needs / any quick wins</w:t>
            </w:r>
          </w:p>
        </w:tc>
        <w:tc>
          <w:tcPr>
            <w:tcW w:w="1667" w:type="dxa"/>
          </w:tcPr>
          <w:p w:rsidR="00997B8D" w:rsidRDefault="00997B8D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  <w:p w:rsidR="00ED472E" w:rsidRPr="00ED472E" w:rsidRDefault="00ED472E" w:rsidP="00ED472E">
            <w:pPr>
              <w:pStyle w:val="TableParagraph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ED472E" w:rsidRDefault="00ED472E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  <w:r w:rsidRPr="00ED472E">
              <w:rPr>
                <w:sz w:val="19"/>
              </w:rPr>
              <w:t>Roger</w:t>
            </w:r>
          </w:p>
        </w:tc>
      </w:tr>
      <w:tr w:rsidR="00997B8D">
        <w:trPr>
          <w:trHeight w:val="2344"/>
        </w:trPr>
        <w:tc>
          <w:tcPr>
            <w:tcW w:w="1976" w:type="dxa"/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10"/>
              <w:ind w:left="472" w:right="301" w:hanging="360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 xml:space="preserve">Work-based learning </w:t>
            </w:r>
            <w:r>
              <w:rPr>
                <w:w w:val="90"/>
                <w:sz w:val="19"/>
              </w:rPr>
              <w:t>development</w:t>
            </w:r>
          </w:p>
        </w:tc>
        <w:tc>
          <w:tcPr>
            <w:tcW w:w="3073" w:type="dxa"/>
          </w:tcPr>
          <w:p w:rsidR="00997B8D" w:rsidRDefault="00ED472E">
            <w:pPr>
              <w:pStyle w:val="TableParagraph"/>
              <w:spacing w:before="10"/>
              <w:ind w:left="114" w:right="117"/>
              <w:rPr>
                <w:sz w:val="19"/>
              </w:rPr>
            </w:pPr>
            <w:r>
              <w:rPr>
                <w:sz w:val="19"/>
              </w:rPr>
              <w:t>Develop the framework and approach to NZIST supporting work-based learning, including planning for the transfer of trainees and apprenticeships currently supported by ITOs</w:t>
            </w:r>
          </w:p>
        </w:tc>
        <w:tc>
          <w:tcPr>
            <w:tcW w:w="8740" w:type="dxa"/>
          </w:tcPr>
          <w:p w:rsidR="00997B8D" w:rsidRDefault="00ED472E">
            <w:pPr>
              <w:pStyle w:val="TableParagraph"/>
              <w:spacing w:before="10"/>
              <w:ind w:right="217"/>
              <w:rPr>
                <w:sz w:val="19"/>
              </w:rPr>
            </w:pPr>
            <w:r>
              <w:rPr>
                <w:sz w:val="19"/>
              </w:rPr>
              <w:t>Support NZIST to understand what this new business means for its operating model, how to integrate it and enhance it in line with charter expectations.</w:t>
            </w:r>
          </w:p>
          <w:p w:rsidR="00997B8D" w:rsidRDefault="00ED472E">
            <w:pPr>
              <w:pStyle w:val="TableParagraph"/>
              <w:spacing w:before="120"/>
              <w:ind w:right="217"/>
              <w:rPr>
                <w:sz w:val="19"/>
              </w:rPr>
            </w:pPr>
            <w:r>
              <w:rPr>
                <w:sz w:val="19"/>
              </w:rPr>
              <w:t>Initial thinking on how NZIST can position itself to deliver this important business effectively, with strong focus on support needed for transfer of trainees, apprentices and employers</w:t>
            </w:r>
          </w:p>
          <w:p w:rsidR="00997B8D" w:rsidRDefault="00ED472E">
            <w:pPr>
              <w:pStyle w:val="TableParagraph"/>
              <w:spacing w:before="119"/>
              <w:ind w:right="1294"/>
              <w:rPr>
                <w:sz w:val="19"/>
              </w:rPr>
            </w:pPr>
            <w:r>
              <w:rPr>
                <w:sz w:val="19"/>
              </w:rPr>
              <w:t>How to bring this new group of students and employers on board without loss of participation, while addressing concerns, and building trust</w:t>
            </w:r>
          </w:p>
          <w:p w:rsidR="00997B8D" w:rsidRDefault="00ED472E">
            <w:pPr>
              <w:pStyle w:val="TableParagraph"/>
              <w:spacing w:before="120"/>
              <w:ind w:right="217"/>
              <w:rPr>
                <w:sz w:val="19"/>
              </w:rPr>
            </w:pPr>
            <w:r>
              <w:rPr>
                <w:sz w:val="19"/>
              </w:rPr>
              <w:t>What about the existing ITP system needs to be adapted to be ready? Potential of transfer to show ‘new world’ identity and brand of NZIST</w:t>
            </w:r>
          </w:p>
        </w:tc>
        <w:tc>
          <w:tcPr>
            <w:tcW w:w="1667" w:type="dxa"/>
          </w:tcPr>
          <w:p w:rsidR="00ED472E" w:rsidRPr="008A1B26" w:rsidRDefault="008A1B26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 w:rsidRPr="008A1B26">
              <w:rPr>
                <w:sz w:val="19"/>
              </w:rPr>
              <w:t>Heather Stonyer</w:t>
            </w: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997B8D" w:rsidRDefault="008A1B26" w:rsidP="00ED472E">
            <w:pPr>
              <w:pStyle w:val="TableParagraph"/>
              <w:ind w:left="144"/>
              <w:rPr>
                <w:sz w:val="19"/>
              </w:rPr>
            </w:pPr>
            <w:r>
              <w:rPr>
                <w:sz w:val="19"/>
              </w:rPr>
              <w:t>Yo</w:t>
            </w:r>
          </w:p>
          <w:p w:rsidR="008A1B26" w:rsidRDefault="008A1B26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sz w:val="19"/>
              </w:rPr>
              <w:t>Trades?</w:t>
            </w:r>
          </w:p>
        </w:tc>
      </w:tr>
      <w:tr w:rsidR="00997B8D">
        <w:trPr>
          <w:trHeight w:val="2521"/>
        </w:trPr>
        <w:tc>
          <w:tcPr>
            <w:tcW w:w="1976" w:type="dxa"/>
            <w:tcBorders>
              <w:bottom w:val="nil"/>
            </w:tcBorders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5"/>
              <w:ind w:left="472" w:right="270" w:hanging="360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z w:val="19"/>
              </w:rPr>
              <w:tab/>
              <w:t xml:space="preserve">New academic architecture for the IST, Including </w:t>
            </w:r>
            <w:r>
              <w:rPr>
                <w:w w:val="95"/>
                <w:sz w:val="19"/>
              </w:rPr>
              <w:t xml:space="preserve">establishment </w:t>
            </w:r>
            <w:r>
              <w:rPr>
                <w:sz w:val="19"/>
              </w:rPr>
              <w:t xml:space="preserve">of </w:t>
            </w:r>
            <w:r>
              <w:rPr>
                <w:spacing w:val="-3"/>
                <w:sz w:val="19"/>
              </w:rPr>
              <w:t xml:space="preserve">Academic </w:t>
            </w:r>
            <w:r>
              <w:rPr>
                <w:sz w:val="19"/>
              </w:rPr>
              <w:t>Board by 1 April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2020</w:t>
            </w:r>
          </w:p>
        </w:tc>
        <w:tc>
          <w:tcPr>
            <w:tcW w:w="3073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5"/>
              <w:ind w:left="114" w:right="200"/>
              <w:rPr>
                <w:sz w:val="19"/>
              </w:rPr>
            </w:pPr>
            <w:r>
              <w:rPr>
                <w:sz w:val="19"/>
              </w:rPr>
              <w:t xml:space="preserve">“Quick win” opportunity </w:t>
            </w:r>
            <w:r>
              <w:rPr>
                <w:spacing w:val="-3"/>
                <w:sz w:val="19"/>
              </w:rPr>
              <w:t xml:space="preserve">to </w:t>
            </w:r>
            <w:r>
              <w:rPr>
                <w:sz w:val="19"/>
              </w:rPr>
              <w:t>portray the future operating model in the first three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months</w:t>
            </w:r>
          </w:p>
          <w:p w:rsidR="00997B8D" w:rsidRDefault="00ED472E">
            <w:pPr>
              <w:pStyle w:val="TableParagraph"/>
              <w:spacing w:line="228" w:lineRule="exact"/>
              <w:ind w:left="114"/>
              <w:rPr>
                <w:sz w:val="19"/>
              </w:rPr>
            </w:pPr>
            <w:r>
              <w:rPr>
                <w:sz w:val="19"/>
              </w:rPr>
              <w:t>– what is going to be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</w:p>
        </w:tc>
        <w:tc>
          <w:tcPr>
            <w:tcW w:w="8740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5" w:line="242" w:lineRule="auto"/>
              <w:ind w:right="217"/>
              <w:rPr>
                <w:sz w:val="19"/>
              </w:rPr>
            </w:pPr>
            <w:r>
              <w:rPr>
                <w:sz w:val="19"/>
              </w:rPr>
              <w:t>Initial thinking for NZIST on development of its academic identity, priorities and reputation; looks at AB role in wider context</w:t>
            </w:r>
          </w:p>
          <w:p w:rsidR="00997B8D" w:rsidRDefault="00ED472E">
            <w:pPr>
              <w:pStyle w:val="TableParagraph"/>
              <w:spacing w:before="115"/>
              <w:ind w:right="217"/>
              <w:rPr>
                <w:sz w:val="19"/>
              </w:rPr>
            </w:pPr>
            <w:r>
              <w:rPr>
                <w:sz w:val="19"/>
              </w:rPr>
              <w:t>Develop and carry out process to recruit and appoint AB, to meet legislative requirements, by 1 April 2002. Also Process for setting up subcommittees – how flexible should it be?</w:t>
            </w:r>
          </w:p>
          <w:p w:rsidR="00997B8D" w:rsidRDefault="00ED472E">
            <w:pPr>
              <w:pStyle w:val="TableParagraph"/>
              <w:spacing w:line="228" w:lineRule="exact"/>
              <w:rPr>
                <w:sz w:val="19"/>
              </w:rPr>
            </w:pPr>
            <w:r>
              <w:rPr>
                <w:sz w:val="19"/>
              </w:rPr>
              <w:t>Supported by officials.</w:t>
            </w:r>
          </w:p>
          <w:p w:rsidR="00997B8D" w:rsidRDefault="00ED472E">
            <w:pPr>
              <w:pStyle w:val="TableParagraph"/>
              <w:spacing w:before="130"/>
              <w:ind w:right="217"/>
              <w:rPr>
                <w:sz w:val="19"/>
              </w:rPr>
            </w:pPr>
            <w:r>
              <w:rPr>
                <w:sz w:val="19"/>
              </w:rPr>
              <w:t>Range of advice that NZIST will need from the academic board, e.g. national and regional needs, including new work-based learning role, charter expectations.</w:t>
            </w:r>
          </w:p>
          <w:p w:rsidR="00997B8D" w:rsidRDefault="00ED472E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Start thinking on how NZIST of might address loss of AB structure in the subsidiaries, and what structure(s) could support this, e.g. if subcommittees, thinking through areas of responsibility.</w:t>
            </w:r>
          </w:p>
        </w:tc>
        <w:tc>
          <w:tcPr>
            <w:tcW w:w="1667" w:type="dxa"/>
            <w:vMerge w:val="restart"/>
          </w:tcPr>
          <w:p w:rsidR="00997B8D" w:rsidRDefault="00997B8D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0D104C" w:rsidRDefault="000D104C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sz w:val="19"/>
              </w:rPr>
              <w:t>Daniel</w:t>
            </w:r>
          </w:p>
        </w:tc>
      </w:tr>
      <w:tr w:rsidR="00997B8D">
        <w:trPr>
          <w:trHeight w:val="632"/>
        </w:trPr>
        <w:tc>
          <w:tcPr>
            <w:tcW w:w="1976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</w:tcBorders>
          </w:tcPr>
          <w:p w:rsidR="00997B8D" w:rsidRDefault="00ED472E">
            <w:pPr>
              <w:pStyle w:val="TableParagraph"/>
              <w:spacing w:before="54"/>
              <w:ind w:right="862"/>
              <w:rPr>
                <w:sz w:val="19"/>
              </w:rPr>
            </w:pPr>
            <w:r>
              <w:rPr>
                <w:sz w:val="19"/>
              </w:rPr>
              <w:t>E.g. what options are there beyond ‘one subcommittee per subsidiary; regional and industry-based lenses; what is a manageable amount of subcommittees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997B8D" w:rsidRDefault="00997B8D" w:rsidP="00ED472E">
            <w:pPr>
              <w:ind w:left="144"/>
              <w:rPr>
                <w:sz w:val="2"/>
                <w:szCs w:val="2"/>
              </w:rPr>
            </w:pPr>
          </w:p>
        </w:tc>
      </w:tr>
      <w:tr w:rsidR="00997B8D">
        <w:trPr>
          <w:trHeight w:val="3050"/>
        </w:trPr>
        <w:tc>
          <w:tcPr>
            <w:tcW w:w="1976" w:type="dxa"/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5"/>
              <w:ind w:left="472" w:right="206" w:hanging="360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z w:val="19"/>
              </w:rPr>
              <w:tab/>
              <w:t xml:space="preserve">Online </w:t>
            </w:r>
            <w:r>
              <w:rPr>
                <w:spacing w:val="-1"/>
                <w:sz w:val="19"/>
              </w:rPr>
              <w:t>arrangements</w:t>
            </w:r>
          </w:p>
        </w:tc>
        <w:tc>
          <w:tcPr>
            <w:tcW w:w="3073" w:type="dxa"/>
          </w:tcPr>
          <w:p w:rsidR="00997B8D" w:rsidRDefault="00ED472E">
            <w:pPr>
              <w:pStyle w:val="TableParagraph"/>
              <w:spacing w:before="5"/>
              <w:ind w:left="114" w:right="295"/>
              <w:rPr>
                <w:sz w:val="19"/>
              </w:rPr>
            </w:pPr>
            <w:r>
              <w:rPr>
                <w:sz w:val="19"/>
              </w:rPr>
              <w:t>Designing a model for online delivery, including consideration of drawing on current ITP online delivery models</w:t>
            </w:r>
          </w:p>
        </w:tc>
        <w:tc>
          <w:tcPr>
            <w:tcW w:w="8740" w:type="dxa"/>
          </w:tcPr>
          <w:p w:rsidR="00997B8D" w:rsidRDefault="00ED472E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>Complete a review/analysis of current online capabilities,</w:t>
            </w:r>
          </w:p>
          <w:p w:rsidR="00997B8D" w:rsidRDefault="00ED472E">
            <w:pPr>
              <w:pStyle w:val="TableParagraph"/>
              <w:spacing w:before="120" w:line="364" w:lineRule="auto"/>
              <w:ind w:right="607"/>
              <w:rPr>
                <w:sz w:val="19"/>
              </w:rPr>
            </w:pPr>
            <w:r>
              <w:rPr>
                <w:sz w:val="19"/>
              </w:rPr>
              <w:t>Initiate the compilation of business requirements to support online delivery for NZIST Agree strategy for determining future capability, e.g. leverage existing vs procurement</w:t>
            </w:r>
          </w:p>
          <w:p w:rsidR="00997B8D" w:rsidRDefault="00ED472E">
            <w:pPr>
              <w:pStyle w:val="TableParagraph"/>
              <w:ind w:right="217"/>
              <w:rPr>
                <w:sz w:val="19"/>
              </w:rPr>
            </w:pPr>
            <w:r>
              <w:rPr>
                <w:sz w:val="19"/>
              </w:rPr>
              <w:t>Consider what online delivery needs to do as part of NZIST delivery model to give effect to charter, support student journeys and learning outcomes, and employer and community needs.</w:t>
            </w:r>
          </w:p>
          <w:p w:rsidR="00997B8D" w:rsidRDefault="00ED472E">
            <w:pPr>
              <w:pStyle w:val="TableParagraph"/>
              <w:spacing w:before="117"/>
              <w:ind w:right="217"/>
              <w:rPr>
                <w:sz w:val="19"/>
              </w:rPr>
            </w:pPr>
            <w:r>
              <w:rPr>
                <w:sz w:val="19"/>
              </w:rPr>
              <w:t xml:space="preserve">Initial thinking on what online network needs to address to succeed in extending NZIST reach nationally and supporting/supplementing physical sites. Include support needed to by students, employers and </w:t>
            </w:r>
            <w:proofErr w:type="spellStart"/>
            <w:r>
              <w:rPr>
                <w:sz w:val="19"/>
              </w:rPr>
              <w:t>whānau</w:t>
            </w:r>
            <w:proofErr w:type="spellEnd"/>
            <w:r>
              <w:rPr>
                <w:sz w:val="19"/>
              </w:rPr>
              <w:t>, and addressing barriers/resistance to online.</w:t>
            </w:r>
          </w:p>
          <w:p w:rsidR="00997B8D" w:rsidRDefault="00ED472E">
            <w:pPr>
              <w:pStyle w:val="TableParagraph"/>
              <w:spacing w:before="122"/>
              <w:rPr>
                <w:sz w:val="19"/>
              </w:rPr>
            </w:pPr>
            <w:r>
              <w:rPr>
                <w:sz w:val="19"/>
              </w:rPr>
              <w:t>Initial thinking of how online arrangements can support work-based learning</w:t>
            </w:r>
          </w:p>
        </w:tc>
        <w:tc>
          <w:tcPr>
            <w:tcW w:w="1667" w:type="dxa"/>
          </w:tcPr>
          <w:p w:rsidR="00997B8D" w:rsidRDefault="00997B8D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ED472E" w:rsidRDefault="00ED472E" w:rsidP="00ED472E">
            <w:pPr>
              <w:pStyle w:val="TableParagraph"/>
              <w:ind w:left="144"/>
              <w:rPr>
                <w:sz w:val="19"/>
              </w:rPr>
            </w:pPr>
            <w:r>
              <w:rPr>
                <w:sz w:val="19"/>
              </w:rPr>
              <w:t>Brad</w:t>
            </w:r>
          </w:p>
          <w:p w:rsidR="000D104C" w:rsidRDefault="000D104C" w:rsidP="00ED472E">
            <w:pPr>
              <w:pStyle w:val="TableParagraph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Meena</w:t>
            </w:r>
            <w:proofErr w:type="spellEnd"/>
          </w:p>
          <w:p w:rsidR="008A1B26" w:rsidRDefault="008A1B26" w:rsidP="00ED472E">
            <w:pPr>
              <w:pStyle w:val="TableParagraph"/>
              <w:ind w:left="144"/>
              <w:rPr>
                <w:sz w:val="19"/>
              </w:rPr>
            </w:pPr>
            <w:r>
              <w:rPr>
                <w:sz w:val="19"/>
              </w:rPr>
              <w:t>Yo</w:t>
            </w:r>
          </w:p>
          <w:p w:rsidR="008A1B26" w:rsidRDefault="008A1B26" w:rsidP="00ED472E"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sz w:val="19"/>
              </w:rPr>
              <w:t>James Oldfield</w:t>
            </w:r>
            <w:bookmarkStart w:id="0" w:name="_GoBack"/>
            <w:bookmarkEnd w:id="0"/>
          </w:p>
        </w:tc>
      </w:tr>
      <w:tr w:rsidR="00997B8D">
        <w:trPr>
          <w:trHeight w:val="1407"/>
        </w:trPr>
        <w:tc>
          <w:tcPr>
            <w:tcW w:w="1976" w:type="dxa"/>
            <w:tcBorders>
              <w:bottom w:val="nil"/>
            </w:tcBorders>
          </w:tcPr>
          <w:p w:rsidR="00997B8D" w:rsidRDefault="00ED472E">
            <w:pPr>
              <w:pStyle w:val="TableParagraph"/>
              <w:tabs>
                <w:tab w:val="left" w:pos="472"/>
              </w:tabs>
              <w:spacing w:before="6"/>
              <w:ind w:left="472" w:right="343" w:hanging="360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 xml:space="preserve">International </w:t>
            </w:r>
            <w:r>
              <w:rPr>
                <w:sz w:val="19"/>
              </w:rPr>
              <w:t>education</w:t>
            </w:r>
          </w:p>
        </w:tc>
        <w:tc>
          <w:tcPr>
            <w:tcW w:w="3073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6"/>
              <w:ind w:left="114" w:right="142"/>
              <w:rPr>
                <w:sz w:val="19"/>
              </w:rPr>
            </w:pPr>
            <w:r>
              <w:rPr>
                <w:sz w:val="19"/>
              </w:rPr>
              <w:t>Commence the development of a future operating model for international education, to support the goal of the</w:t>
            </w:r>
          </w:p>
          <w:p w:rsidR="00997B8D" w:rsidRDefault="00ED472E">
            <w:pPr>
              <w:pStyle w:val="TableParagraph"/>
              <w:spacing w:before="2" w:line="230" w:lineRule="atLeast"/>
              <w:ind w:left="114" w:right="244"/>
              <w:rPr>
                <w:sz w:val="19"/>
              </w:rPr>
            </w:pPr>
            <w:r>
              <w:rPr>
                <w:sz w:val="19"/>
              </w:rPr>
              <w:t>International education strategy</w:t>
            </w:r>
          </w:p>
        </w:tc>
        <w:tc>
          <w:tcPr>
            <w:tcW w:w="8740" w:type="dxa"/>
            <w:tcBorders>
              <w:bottom w:val="nil"/>
            </w:tcBorders>
          </w:tcPr>
          <w:p w:rsidR="00997B8D" w:rsidRDefault="00ED472E">
            <w:pPr>
              <w:pStyle w:val="TableParagraph"/>
              <w:spacing w:before="6"/>
              <w:ind w:right="217"/>
              <w:rPr>
                <w:sz w:val="19"/>
              </w:rPr>
            </w:pPr>
            <w:r>
              <w:rPr>
                <w:sz w:val="19"/>
              </w:rPr>
              <w:t xml:space="preserve">Setting out a strategic approach to international for NZIST, showing how it aligns to IES, </w:t>
            </w:r>
            <w:proofErr w:type="spellStart"/>
            <w:r>
              <w:rPr>
                <w:sz w:val="19"/>
              </w:rPr>
              <w:t>esp</w:t>
            </w:r>
            <w:proofErr w:type="spellEnd"/>
            <w:r>
              <w:rPr>
                <w:sz w:val="19"/>
              </w:rPr>
              <w:t xml:space="preserve"> regional vitality</w:t>
            </w:r>
          </w:p>
          <w:p w:rsidR="00997B8D" w:rsidRDefault="00ED472E">
            <w:pPr>
              <w:pStyle w:val="TableParagraph"/>
              <w:spacing w:before="119"/>
              <w:ind w:right="570"/>
              <w:rPr>
                <w:sz w:val="19"/>
              </w:rPr>
            </w:pPr>
            <w:r>
              <w:rPr>
                <w:sz w:val="19"/>
              </w:rPr>
              <w:t>“Value over volume” – how to build NZIST brand of international delivery (e.g. regionally based international delivery, possible ‘whole of NZ experience’) as well as supporting financial viability for NZIST</w:t>
            </w:r>
          </w:p>
        </w:tc>
        <w:tc>
          <w:tcPr>
            <w:tcW w:w="1667" w:type="dxa"/>
            <w:tcBorders>
              <w:bottom w:val="nil"/>
            </w:tcBorders>
          </w:tcPr>
          <w:p w:rsidR="00997B8D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David Glover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</w:p>
          <w:p w:rsidR="00ED472E" w:rsidRPr="00ED472E" w:rsidRDefault="00ED472E" w:rsidP="00ED472E">
            <w:pPr>
              <w:pStyle w:val="TableParagraph"/>
              <w:spacing w:before="3"/>
              <w:ind w:left="144"/>
              <w:rPr>
                <w:b/>
                <w:sz w:val="19"/>
              </w:rPr>
            </w:pPr>
            <w:r w:rsidRPr="00ED472E">
              <w:rPr>
                <w:b/>
                <w:sz w:val="19"/>
              </w:rPr>
              <w:t>STAR:</w:t>
            </w:r>
          </w:p>
          <w:p w:rsidR="00ED472E" w:rsidRDefault="00ED472E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r>
              <w:rPr>
                <w:sz w:val="19"/>
              </w:rPr>
              <w:t>Sarah Hardman</w:t>
            </w:r>
          </w:p>
          <w:p w:rsidR="000D104C" w:rsidRDefault="000D104C" w:rsidP="00ED472E">
            <w:pPr>
              <w:pStyle w:val="TableParagraph"/>
              <w:spacing w:before="3"/>
              <w:ind w:left="144"/>
              <w:rPr>
                <w:sz w:val="19"/>
              </w:rPr>
            </w:pPr>
            <w:proofErr w:type="spellStart"/>
            <w:r>
              <w:rPr>
                <w:sz w:val="19"/>
              </w:rPr>
              <w:t>Meena</w:t>
            </w:r>
            <w:proofErr w:type="spellEnd"/>
          </w:p>
        </w:tc>
      </w:tr>
      <w:tr w:rsidR="00997B8D">
        <w:trPr>
          <w:trHeight w:val="528"/>
        </w:trPr>
        <w:tc>
          <w:tcPr>
            <w:tcW w:w="1976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  <w:bottom w:val="nil"/>
            </w:tcBorders>
          </w:tcPr>
          <w:p w:rsidR="00997B8D" w:rsidRDefault="00ED472E">
            <w:pPr>
              <w:pStyle w:val="TableParagraph"/>
              <w:spacing w:before="2"/>
              <w:ind w:right="217"/>
              <w:rPr>
                <w:sz w:val="19"/>
              </w:rPr>
            </w:pPr>
            <w:r>
              <w:rPr>
                <w:sz w:val="19"/>
              </w:rPr>
              <w:t>What channels are already in place through ITPs and ITOs; how and if to bring all ITP international marketing approaches and offerings together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7B8D">
        <w:trPr>
          <w:trHeight w:val="353"/>
        </w:trPr>
        <w:tc>
          <w:tcPr>
            <w:tcW w:w="1976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  <w:bottom w:val="nil"/>
            </w:tcBorders>
          </w:tcPr>
          <w:p w:rsidR="00997B8D" w:rsidRDefault="00ED472E">
            <w:pPr>
              <w:pStyle w:val="TableParagraph"/>
              <w:spacing w:before="59"/>
              <w:rPr>
                <w:sz w:val="19"/>
              </w:rPr>
            </w:pPr>
            <w:r>
              <w:rPr>
                <w:sz w:val="19"/>
              </w:rPr>
              <w:t>Analysis of what workforce capability exists, and what development is needed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7B8D">
        <w:trPr>
          <w:trHeight w:val="353"/>
        </w:trPr>
        <w:tc>
          <w:tcPr>
            <w:tcW w:w="1976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  <w:bottom w:val="nil"/>
            </w:tcBorders>
          </w:tcPr>
          <w:p w:rsidR="00997B8D" w:rsidRDefault="00ED472E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Programme and qualification development - existing and new (align to project 3)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7B8D">
        <w:trPr>
          <w:trHeight w:val="639"/>
        </w:trPr>
        <w:tc>
          <w:tcPr>
            <w:tcW w:w="1976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40" w:type="dxa"/>
            <w:tcBorders>
              <w:top w:val="nil"/>
            </w:tcBorders>
          </w:tcPr>
          <w:p w:rsidR="00997B8D" w:rsidRDefault="00ED472E">
            <w:pPr>
              <w:pStyle w:val="TableParagraph"/>
              <w:spacing w:before="59" w:line="242" w:lineRule="auto"/>
              <w:ind w:right="335"/>
              <w:rPr>
                <w:sz w:val="19"/>
              </w:rPr>
            </w:pPr>
            <w:r>
              <w:rPr>
                <w:sz w:val="19"/>
              </w:rPr>
              <w:t>What needs to be done to ensure consistency of support for student well-being, and what does best practice look like (could be different to what is done currently)</w:t>
            </w:r>
          </w:p>
        </w:tc>
        <w:tc>
          <w:tcPr>
            <w:tcW w:w="1667" w:type="dxa"/>
            <w:tcBorders>
              <w:top w:val="nil"/>
            </w:tcBorders>
          </w:tcPr>
          <w:p w:rsidR="00997B8D" w:rsidRDefault="00997B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611FA" w:rsidRDefault="003611FA"/>
    <w:sectPr w:rsidR="003611FA">
      <w:type w:val="continuous"/>
      <w:pgSz w:w="16850" w:h="23820"/>
      <w:pgMar w:top="9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8D"/>
    <w:rsid w:val="000D104C"/>
    <w:rsid w:val="002F3E79"/>
    <w:rsid w:val="003611FA"/>
    <w:rsid w:val="008A1B26"/>
    <w:rsid w:val="00997B8D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9301"/>
  <w15:docId w15:val="{0AFD9A88-792B-4704-B3A7-6031EC25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Lynnette Brown</cp:lastModifiedBy>
  <cp:revision>3</cp:revision>
  <dcterms:created xsi:type="dcterms:W3CDTF">2019-10-29T21:12:00Z</dcterms:created>
  <dcterms:modified xsi:type="dcterms:W3CDTF">2019-10-31T01:18:00Z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2019-10-10T00:00:00Z</vt:filetime>
  </property>
</Properties>
</file>