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2A0AD" w14:textId="77777777" w:rsidR="008B05E6" w:rsidRPr="00987CBA" w:rsidRDefault="005101BA" w:rsidP="005101BA">
      <w:pPr>
        <w:pStyle w:val="Title"/>
        <w:jc w:val="center"/>
        <w:rPr>
          <w:sz w:val="48"/>
          <w:szCs w:val="48"/>
        </w:rPr>
      </w:pPr>
      <w:r w:rsidRPr="00987CBA">
        <w:rPr>
          <w:sz w:val="48"/>
          <w:szCs w:val="48"/>
        </w:rPr>
        <w:t>2018 Student Performance Report</w:t>
      </w:r>
    </w:p>
    <w:p w14:paraId="1E0AF48D" w14:textId="77777777" w:rsidR="005101BA" w:rsidRPr="005101BA" w:rsidRDefault="005101BA" w:rsidP="00987CBA">
      <w:pPr>
        <w:pStyle w:val="Subtitle"/>
        <w:spacing w:after="0" w:line="240" w:lineRule="auto"/>
        <w:jc w:val="center"/>
        <w:rPr>
          <w:sz w:val="28"/>
        </w:rPr>
      </w:pPr>
      <w:r w:rsidRPr="005101BA">
        <w:rPr>
          <w:sz w:val="28"/>
        </w:rPr>
        <w:t>Te Korowai Kahurangi</w:t>
      </w:r>
    </w:p>
    <w:p w14:paraId="255487B0" w14:textId="77777777" w:rsidR="005101BA" w:rsidRPr="005101BA" w:rsidRDefault="005101BA" w:rsidP="00987CBA">
      <w:pPr>
        <w:pBdr>
          <w:bottom w:val="single" w:sz="12" w:space="1" w:color="auto"/>
        </w:pBdr>
        <w:spacing w:after="0" w:line="240" w:lineRule="auto"/>
        <w:jc w:val="center"/>
        <w:rPr>
          <w:sz w:val="28"/>
        </w:rPr>
      </w:pPr>
    </w:p>
    <w:p w14:paraId="36E622D6" w14:textId="77777777" w:rsidR="005101BA" w:rsidRDefault="005101BA" w:rsidP="00D96C9A">
      <w:pPr>
        <w:pStyle w:val="Heading1"/>
        <w:spacing w:before="400" w:after="240"/>
      </w:pPr>
      <w:r>
        <w:t>Introduction</w:t>
      </w:r>
    </w:p>
    <w:p w14:paraId="35D3328D" w14:textId="77777777" w:rsidR="005E1E5B" w:rsidRDefault="005E1E5B" w:rsidP="005E1E5B">
      <w:r>
        <w:t>This report analyses EPI data available from Ngā Kete</w:t>
      </w:r>
      <w:r w:rsidRPr="005E1E5B">
        <w:rPr>
          <w:vertAlign w:val="superscript"/>
        </w:rPr>
        <w:t>1</w:t>
      </w:r>
      <w:r>
        <w:t xml:space="preserve"> </w:t>
      </w:r>
      <w:r w:rsidR="001C512A">
        <w:t xml:space="preserve">(2015-2018) </w:t>
      </w:r>
      <w:r>
        <w:t xml:space="preserve">and the outcome of the graduate surveys (2015-2019) in Unitec. For the purposes of this report, the following schools are NOT included </w:t>
      </w:r>
      <w:r w:rsidR="007345BA">
        <w:t xml:space="preserve">in the statistical tables and analysis </w:t>
      </w:r>
      <w:r>
        <w:t>due to the reasons as stated:</w:t>
      </w:r>
    </w:p>
    <w:p w14:paraId="024717A7" w14:textId="77777777" w:rsidR="005E1E5B" w:rsidRDefault="005E1E5B" w:rsidP="005E1E5B">
      <w:pPr>
        <w:pStyle w:val="ListParagraph"/>
        <w:numPr>
          <w:ilvl w:val="0"/>
          <w:numId w:val="5"/>
        </w:numPr>
        <w:spacing w:line="256" w:lineRule="auto"/>
      </w:pPr>
      <w:r>
        <w:t>Te Puna Ako – provides only a few postgraduate programmes not comparable for analysis</w:t>
      </w:r>
    </w:p>
    <w:p w14:paraId="7C631FA1" w14:textId="77777777" w:rsidR="005E1E5B" w:rsidRDefault="005E1E5B" w:rsidP="005E1E5B">
      <w:pPr>
        <w:pStyle w:val="ListParagraph"/>
        <w:numPr>
          <w:ilvl w:val="0"/>
          <w:numId w:val="5"/>
        </w:numPr>
        <w:spacing w:line="256" w:lineRule="auto"/>
      </w:pPr>
      <w:r>
        <w:t xml:space="preserve">Administrative – </w:t>
      </w:r>
      <w:r w:rsidR="00B57839">
        <w:t>with</w:t>
      </w:r>
      <w:r>
        <w:t xml:space="preserve"> short and generic courses </w:t>
      </w:r>
      <w:r w:rsidR="00B57839">
        <w:t>not provided by</w:t>
      </w:r>
      <w:r>
        <w:t xml:space="preserve"> a </w:t>
      </w:r>
      <w:r w:rsidR="00B57839">
        <w:t xml:space="preserve">specific </w:t>
      </w:r>
      <w:r>
        <w:t>academic school</w:t>
      </w:r>
    </w:p>
    <w:p w14:paraId="01C16C04" w14:textId="77777777" w:rsidR="005E1E5B" w:rsidRDefault="005E1E5B" w:rsidP="005E1E5B">
      <w:pPr>
        <w:pStyle w:val="ListParagraph"/>
        <w:numPr>
          <w:ilvl w:val="0"/>
          <w:numId w:val="5"/>
        </w:numPr>
        <w:spacing w:line="256" w:lineRule="auto"/>
      </w:pPr>
      <w:r>
        <w:t>Mindlab – is operating independently of Unitec</w:t>
      </w:r>
    </w:p>
    <w:p w14:paraId="745977B1" w14:textId="77777777" w:rsidR="00B57839" w:rsidRDefault="00B57839" w:rsidP="001B1F03">
      <w:pPr>
        <w:spacing w:line="256" w:lineRule="auto"/>
        <w:rPr>
          <w:i/>
        </w:rPr>
      </w:pPr>
      <w:r w:rsidRPr="00B57839">
        <w:rPr>
          <w:i/>
        </w:rPr>
        <w:t xml:space="preserve">Note: </w:t>
      </w:r>
      <w:r w:rsidR="001B1F03" w:rsidRPr="00B57839">
        <w:rPr>
          <w:i/>
        </w:rPr>
        <w:t>Where statistics for the three schools are included are</w:t>
      </w:r>
      <w:r>
        <w:rPr>
          <w:i/>
        </w:rPr>
        <w:t>:</w:t>
      </w:r>
    </w:p>
    <w:p w14:paraId="2751C1E2" w14:textId="77777777" w:rsidR="00B57839" w:rsidRDefault="001B1F03" w:rsidP="00B57839">
      <w:pPr>
        <w:pStyle w:val="ListParagraph"/>
        <w:numPr>
          <w:ilvl w:val="0"/>
          <w:numId w:val="11"/>
        </w:numPr>
        <w:spacing w:line="256" w:lineRule="auto"/>
        <w:rPr>
          <w:i/>
        </w:rPr>
      </w:pPr>
      <w:r w:rsidRPr="00B57839">
        <w:rPr>
          <w:i/>
        </w:rPr>
        <w:t xml:space="preserve">the benchmark tables and charts for comparison with the ITP </w:t>
      </w:r>
      <w:r w:rsidR="00B57839">
        <w:rPr>
          <w:i/>
        </w:rPr>
        <w:t xml:space="preserve">and University </w:t>
      </w:r>
      <w:r w:rsidRPr="00B57839">
        <w:rPr>
          <w:i/>
        </w:rPr>
        <w:t>sector</w:t>
      </w:r>
      <w:r w:rsidR="00B57839">
        <w:rPr>
          <w:i/>
        </w:rPr>
        <w:t>s</w:t>
      </w:r>
      <w:r w:rsidRPr="00B57839">
        <w:rPr>
          <w:i/>
        </w:rPr>
        <w:t xml:space="preserve"> and</w:t>
      </w:r>
      <w:r w:rsidR="00B57839">
        <w:rPr>
          <w:i/>
        </w:rPr>
        <w:t>,</w:t>
      </w:r>
    </w:p>
    <w:p w14:paraId="0687B9F8" w14:textId="77777777" w:rsidR="001B1F03" w:rsidRPr="00B57839" w:rsidRDefault="001B1F03" w:rsidP="00B57839">
      <w:pPr>
        <w:pStyle w:val="ListParagraph"/>
        <w:numPr>
          <w:ilvl w:val="0"/>
          <w:numId w:val="11"/>
        </w:numPr>
        <w:spacing w:line="256" w:lineRule="auto"/>
        <w:rPr>
          <w:i/>
        </w:rPr>
      </w:pPr>
      <w:r w:rsidRPr="00B57839">
        <w:rPr>
          <w:i/>
        </w:rPr>
        <w:t xml:space="preserve">when otherwise specified.  </w:t>
      </w:r>
    </w:p>
    <w:p w14:paraId="1FF621C8" w14:textId="65E5D778" w:rsidR="005E1E5B" w:rsidRDefault="005E1E5B" w:rsidP="005E1E5B">
      <w:r>
        <w:t xml:space="preserve">The report provides </w:t>
      </w:r>
      <w:r w:rsidR="007345BA">
        <w:t xml:space="preserve">statistics of </w:t>
      </w:r>
      <w:r w:rsidR="001C512A">
        <w:t xml:space="preserve">three </w:t>
      </w:r>
      <w:r>
        <w:t xml:space="preserve">student success measures at the institutional </w:t>
      </w:r>
      <w:r w:rsidR="00844097">
        <w:t xml:space="preserve">and priority group </w:t>
      </w:r>
      <w:r>
        <w:t>level</w:t>
      </w:r>
      <w:r w:rsidR="00844097">
        <w:t>s</w:t>
      </w:r>
      <w:r>
        <w:t xml:space="preserve">, identifies high performing and low performing schools in each of these measures and concludes with key findings to help with strategic planning.  </w:t>
      </w:r>
      <w:r w:rsidR="00987CBA" w:rsidRPr="00987CBA">
        <w:t>Progression Rate is not included as comparable data are not available for the period of 2015-2018.</w:t>
      </w:r>
    </w:p>
    <w:p w14:paraId="407AC275" w14:textId="77777777" w:rsidR="005E1E5B" w:rsidRDefault="005E1E5B" w:rsidP="005E1E5B">
      <w:r>
        <w:t xml:space="preserve">These </w:t>
      </w:r>
      <w:r w:rsidR="001C512A">
        <w:t>three</w:t>
      </w:r>
      <w:r>
        <w:t xml:space="preserve"> measures are:</w:t>
      </w:r>
      <w:r w:rsidR="00893E8F">
        <w:t xml:space="preserve"> </w:t>
      </w:r>
    </w:p>
    <w:p w14:paraId="4082E350" w14:textId="77777777" w:rsidR="005E1E5B" w:rsidRDefault="005E1E5B" w:rsidP="005E1E5B">
      <w:pPr>
        <w:pStyle w:val="ListParagraph"/>
        <w:numPr>
          <w:ilvl w:val="0"/>
          <w:numId w:val="6"/>
        </w:numPr>
        <w:spacing w:line="256" w:lineRule="auto"/>
      </w:pPr>
      <w:r>
        <w:t>Successful Course Completion Rate</w:t>
      </w:r>
    </w:p>
    <w:p w14:paraId="7857419C" w14:textId="77777777" w:rsidR="005E1E5B" w:rsidRDefault="005E1E5B" w:rsidP="005E1E5B">
      <w:pPr>
        <w:pStyle w:val="ListParagraph"/>
        <w:numPr>
          <w:ilvl w:val="0"/>
          <w:numId w:val="6"/>
        </w:numPr>
        <w:spacing w:line="256" w:lineRule="auto"/>
      </w:pPr>
      <w:r>
        <w:t>Qualification Completion Rate</w:t>
      </w:r>
    </w:p>
    <w:p w14:paraId="467CFDCD" w14:textId="77777777" w:rsidR="005E1E5B" w:rsidRDefault="005E1E5B" w:rsidP="005E1E5B">
      <w:pPr>
        <w:pStyle w:val="ListParagraph"/>
        <w:numPr>
          <w:ilvl w:val="0"/>
          <w:numId w:val="6"/>
        </w:numPr>
        <w:spacing w:line="256" w:lineRule="auto"/>
      </w:pPr>
      <w:r>
        <w:t>First Year Retention Rate</w:t>
      </w:r>
    </w:p>
    <w:p w14:paraId="44216C53" w14:textId="77777777" w:rsidR="005E1E5B" w:rsidRDefault="005E1E5B" w:rsidP="005E1E5B">
      <w:pPr>
        <w:spacing w:line="256" w:lineRule="auto"/>
      </w:pPr>
      <w:r>
        <w:t>Analysis of graduate surveys focuses on the following KPIs:</w:t>
      </w:r>
    </w:p>
    <w:p w14:paraId="51459799" w14:textId="77777777" w:rsidR="005E1E5B" w:rsidRDefault="005E1E5B" w:rsidP="005E1E5B">
      <w:pPr>
        <w:pStyle w:val="ListParagraph"/>
        <w:numPr>
          <w:ilvl w:val="0"/>
          <w:numId w:val="7"/>
        </w:numPr>
        <w:spacing w:line="256" w:lineRule="auto"/>
      </w:pPr>
      <w:r>
        <w:t>% employed</w:t>
      </w:r>
    </w:p>
    <w:p w14:paraId="75D5B48D" w14:textId="77777777" w:rsidR="005E1E5B" w:rsidRDefault="005E1E5B" w:rsidP="005E1E5B">
      <w:pPr>
        <w:pStyle w:val="ListParagraph"/>
        <w:numPr>
          <w:ilvl w:val="0"/>
          <w:numId w:val="7"/>
        </w:numPr>
        <w:spacing w:line="256" w:lineRule="auto"/>
      </w:pPr>
      <w:r>
        <w:t>% in further study</w:t>
      </w:r>
    </w:p>
    <w:p w14:paraId="227C7B9D" w14:textId="77777777" w:rsidR="00D3374F" w:rsidRPr="00D3374F" w:rsidRDefault="005101BA" w:rsidP="00B503AA">
      <w:pPr>
        <w:pStyle w:val="Heading1"/>
        <w:spacing w:before="320" w:after="240"/>
      </w:pPr>
      <w:r>
        <w:t>Executive Summary</w:t>
      </w:r>
    </w:p>
    <w:p w14:paraId="1C9EE937" w14:textId="77777777" w:rsidR="004452E5" w:rsidRDefault="005101BA" w:rsidP="004452E5">
      <w:r w:rsidRPr="00D3374F">
        <w:t>Unitec’s overa</w:t>
      </w:r>
      <w:r w:rsidR="00D3374F">
        <w:t>ll Student performance</w:t>
      </w:r>
      <w:r w:rsidR="00D56757" w:rsidRPr="003B797A">
        <w:rPr>
          <w:vertAlign w:val="superscript"/>
        </w:rPr>
        <w:t>2</w:t>
      </w:r>
      <w:r w:rsidR="00D3374F">
        <w:t xml:space="preserve"> has been </w:t>
      </w:r>
      <w:r w:rsidR="001C512A">
        <w:t>stable for the period of 2015-2018.</w:t>
      </w:r>
      <w:r w:rsidRPr="00D3374F">
        <w:t xml:space="preserve"> </w:t>
      </w:r>
      <w:r w:rsidR="001C512A">
        <w:t xml:space="preserve">Over the 4-year period, Unitec </w:t>
      </w:r>
      <w:r w:rsidR="006B2602">
        <w:t>achieved an average of</w:t>
      </w:r>
      <w:r w:rsidR="003E51E8">
        <w:t xml:space="preserve"> 83</w:t>
      </w:r>
      <w:r w:rsidR="001C512A">
        <w:t>% Successful Course Completion</w:t>
      </w:r>
      <w:r w:rsidR="00987CBA">
        <w:t xml:space="preserve"> (SCC)</w:t>
      </w:r>
      <w:r w:rsidR="006B2602">
        <w:t xml:space="preserve"> Rate and 70.</w:t>
      </w:r>
      <w:r w:rsidR="003E51E8">
        <w:t>5</w:t>
      </w:r>
      <w:r w:rsidR="001C512A">
        <w:t xml:space="preserve">% First Year Retention </w:t>
      </w:r>
      <w:r w:rsidR="00987CBA">
        <w:t xml:space="preserve">(FYR) </w:t>
      </w:r>
      <w:r w:rsidR="001C512A">
        <w:t xml:space="preserve">Rate, exceeding the </w:t>
      </w:r>
      <w:r w:rsidR="006665DF">
        <w:t xml:space="preserve">2018 </w:t>
      </w:r>
      <w:r w:rsidR="001C512A">
        <w:t>Inve</w:t>
      </w:r>
      <w:bookmarkStart w:id="0" w:name="_GoBack"/>
      <w:bookmarkEnd w:id="0"/>
      <w:r w:rsidR="001C512A">
        <w:t xml:space="preserve">stment Target of </w:t>
      </w:r>
      <w:r w:rsidR="006B2602">
        <w:t>78% and 66</w:t>
      </w:r>
      <w:r w:rsidR="001C512A">
        <w:t xml:space="preserve">% respectively while the Qualification Completion </w:t>
      </w:r>
      <w:r w:rsidR="00987CBA">
        <w:t xml:space="preserve">(QC) </w:t>
      </w:r>
      <w:r w:rsidR="003E51E8">
        <w:t>Rate averaged at 55.5</w:t>
      </w:r>
      <w:r w:rsidR="001C512A">
        <w:t>%.</w:t>
      </w:r>
    </w:p>
    <w:p w14:paraId="2FA2F42B" w14:textId="77777777" w:rsidR="00024D3B" w:rsidRPr="003B797A" w:rsidRDefault="00024D3B" w:rsidP="004452E5">
      <w:pPr>
        <w:rPr>
          <w:vertAlign w:val="superscript"/>
        </w:rPr>
      </w:pPr>
    </w:p>
    <w:p w14:paraId="197DE25A" w14:textId="77777777" w:rsidR="004452E5" w:rsidRDefault="004452E5" w:rsidP="00024D3B">
      <w:pPr>
        <w:spacing w:after="0" w:line="240"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14:paraId="0D614A2D" w14:textId="77777777" w:rsidR="004452E5" w:rsidRDefault="004452E5" w:rsidP="004452E5">
      <w:pPr>
        <w:pStyle w:val="Footer"/>
      </w:pPr>
      <w:r w:rsidRPr="001D2255">
        <w:rPr>
          <w:vertAlign w:val="superscript"/>
        </w:rPr>
        <w:t>1</w:t>
      </w:r>
      <w:r>
        <w:t xml:space="preserve"> </w:t>
      </w:r>
      <w:r w:rsidRPr="004C2D74">
        <w:rPr>
          <w:sz w:val="18"/>
          <w:szCs w:val="18"/>
        </w:rPr>
        <w:t>All data from Ngā Kete were retrieved on 24/6/19 from https://www.tec.govt.nz/</w:t>
      </w:r>
    </w:p>
    <w:p w14:paraId="68674BA7" w14:textId="77777777" w:rsidR="004452E5" w:rsidRPr="003B797A" w:rsidRDefault="004452E5" w:rsidP="004452E5">
      <w:pPr>
        <w:rPr>
          <w:vertAlign w:val="superscript"/>
        </w:rPr>
      </w:pPr>
      <w:r w:rsidRPr="003B797A">
        <w:rPr>
          <w:vertAlign w:val="superscript"/>
        </w:rPr>
        <w:t>2</w:t>
      </w:r>
      <w:r>
        <w:rPr>
          <w:vertAlign w:val="superscript"/>
        </w:rPr>
        <w:t xml:space="preserve"> </w:t>
      </w:r>
      <w:r>
        <w:rPr>
          <w:sz w:val="18"/>
          <w:szCs w:val="18"/>
        </w:rPr>
        <w:t xml:space="preserve">Overall rates in the Executive Summary includes statistics for Administrative, Mindlab and Te Puna Ako. </w:t>
      </w:r>
      <w:r>
        <w:rPr>
          <w:vertAlign w:val="superscript"/>
        </w:rPr>
        <w:t xml:space="preserve"> </w:t>
      </w:r>
    </w:p>
    <w:p w14:paraId="5DCE456B" w14:textId="77777777" w:rsidR="004452E5" w:rsidRDefault="004452E5" w:rsidP="004A5B1F">
      <w:pPr>
        <w:jc w:val="center"/>
        <w:rPr>
          <w:b/>
          <w:sz w:val="20"/>
          <w:szCs w:val="20"/>
        </w:rPr>
        <w:sectPr w:rsidR="004452E5" w:rsidSect="003100EE">
          <w:footerReference w:type="default" r:id="rId8"/>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290"/>
        <w:gridCol w:w="5822"/>
        <w:gridCol w:w="6350"/>
      </w:tblGrid>
      <w:tr w:rsidR="002A267A" w:rsidRPr="004452E5" w14:paraId="1F73068B" w14:textId="77777777" w:rsidTr="002A267A">
        <w:tc>
          <w:tcPr>
            <w:tcW w:w="1290" w:type="dxa"/>
            <w:vMerge w:val="restart"/>
            <w:shd w:val="clear" w:color="auto" w:fill="A6A6A6" w:themeFill="background1" w:themeFillShade="A6"/>
            <w:vAlign w:val="center"/>
          </w:tcPr>
          <w:p w14:paraId="4D4A0E76" w14:textId="77777777" w:rsidR="002A267A" w:rsidRPr="004452E5" w:rsidRDefault="002A267A" w:rsidP="004A5B1F">
            <w:pPr>
              <w:jc w:val="center"/>
              <w:rPr>
                <w:b/>
                <w:sz w:val="20"/>
                <w:szCs w:val="20"/>
              </w:rPr>
            </w:pPr>
            <w:r w:rsidRPr="004452E5">
              <w:rPr>
                <w:b/>
                <w:sz w:val="20"/>
                <w:szCs w:val="20"/>
              </w:rPr>
              <w:lastRenderedPageBreak/>
              <w:t>Performance Indicators</w:t>
            </w:r>
          </w:p>
        </w:tc>
        <w:tc>
          <w:tcPr>
            <w:tcW w:w="12172" w:type="dxa"/>
            <w:gridSpan w:val="2"/>
            <w:shd w:val="clear" w:color="auto" w:fill="A6A6A6" w:themeFill="background1" w:themeFillShade="A6"/>
            <w:vAlign w:val="center"/>
          </w:tcPr>
          <w:p w14:paraId="48CDEFBD" w14:textId="77777777" w:rsidR="002A267A" w:rsidRPr="004452E5" w:rsidRDefault="002A267A" w:rsidP="004A5B1F">
            <w:pPr>
              <w:jc w:val="center"/>
              <w:rPr>
                <w:b/>
                <w:sz w:val="20"/>
                <w:szCs w:val="20"/>
              </w:rPr>
            </w:pPr>
            <w:r w:rsidRPr="004452E5">
              <w:rPr>
                <w:b/>
                <w:sz w:val="20"/>
                <w:szCs w:val="20"/>
              </w:rPr>
              <w:t>Rationale</w:t>
            </w:r>
          </w:p>
        </w:tc>
      </w:tr>
      <w:tr w:rsidR="002A267A" w:rsidRPr="004452E5" w14:paraId="2D010FB6" w14:textId="77777777" w:rsidTr="002A267A">
        <w:tc>
          <w:tcPr>
            <w:tcW w:w="1290" w:type="dxa"/>
            <w:vMerge/>
            <w:shd w:val="clear" w:color="auto" w:fill="A6A6A6" w:themeFill="background1" w:themeFillShade="A6"/>
          </w:tcPr>
          <w:p w14:paraId="1ACED705" w14:textId="77777777" w:rsidR="002A267A" w:rsidRPr="004452E5" w:rsidRDefault="002A267A" w:rsidP="004A5B1F">
            <w:pPr>
              <w:rPr>
                <w:b/>
                <w:sz w:val="20"/>
                <w:szCs w:val="20"/>
              </w:rPr>
            </w:pPr>
          </w:p>
        </w:tc>
        <w:tc>
          <w:tcPr>
            <w:tcW w:w="5822" w:type="dxa"/>
            <w:shd w:val="clear" w:color="auto" w:fill="A6A6A6" w:themeFill="background1" w:themeFillShade="A6"/>
          </w:tcPr>
          <w:p w14:paraId="178DAC2A" w14:textId="77777777" w:rsidR="002A267A" w:rsidRPr="004452E5" w:rsidRDefault="002A267A" w:rsidP="004A5B1F">
            <w:pPr>
              <w:jc w:val="center"/>
              <w:rPr>
                <w:b/>
                <w:sz w:val="20"/>
                <w:szCs w:val="20"/>
              </w:rPr>
            </w:pPr>
            <w:r w:rsidRPr="004452E5">
              <w:rPr>
                <w:b/>
                <w:sz w:val="20"/>
                <w:szCs w:val="20"/>
              </w:rPr>
              <w:t>Strengths</w:t>
            </w:r>
          </w:p>
        </w:tc>
        <w:tc>
          <w:tcPr>
            <w:tcW w:w="6350" w:type="dxa"/>
            <w:shd w:val="clear" w:color="auto" w:fill="A6A6A6" w:themeFill="background1" w:themeFillShade="A6"/>
          </w:tcPr>
          <w:p w14:paraId="31127AE2" w14:textId="77777777" w:rsidR="002A267A" w:rsidRPr="004452E5" w:rsidRDefault="002A267A" w:rsidP="004A5B1F">
            <w:pPr>
              <w:jc w:val="center"/>
              <w:rPr>
                <w:b/>
                <w:sz w:val="20"/>
                <w:szCs w:val="20"/>
              </w:rPr>
            </w:pPr>
            <w:r w:rsidRPr="004452E5">
              <w:rPr>
                <w:b/>
                <w:sz w:val="20"/>
                <w:szCs w:val="20"/>
              </w:rPr>
              <w:t>Weaknesses</w:t>
            </w:r>
          </w:p>
        </w:tc>
      </w:tr>
      <w:tr w:rsidR="002A267A" w:rsidRPr="004452E5" w14:paraId="0E42F636" w14:textId="77777777" w:rsidTr="002A267A">
        <w:tc>
          <w:tcPr>
            <w:tcW w:w="1290" w:type="dxa"/>
          </w:tcPr>
          <w:p w14:paraId="1CC48A44" w14:textId="77777777" w:rsidR="002A267A" w:rsidRPr="004452E5" w:rsidRDefault="002A267A" w:rsidP="004A5B1F">
            <w:pPr>
              <w:rPr>
                <w:b/>
                <w:sz w:val="20"/>
                <w:szCs w:val="20"/>
              </w:rPr>
            </w:pPr>
            <w:r w:rsidRPr="004452E5">
              <w:rPr>
                <w:b/>
                <w:sz w:val="20"/>
                <w:szCs w:val="20"/>
              </w:rPr>
              <w:t>Successful Course Completion</w:t>
            </w:r>
          </w:p>
        </w:tc>
        <w:tc>
          <w:tcPr>
            <w:tcW w:w="5822" w:type="dxa"/>
          </w:tcPr>
          <w:p w14:paraId="028DD4ED" w14:textId="77777777" w:rsidR="002A267A" w:rsidRPr="004452E5" w:rsidRDefault="002A267A" w:rsidP="004452E5">
            <w:pPr>
              <w:pStyle w:val="ListParagraph"/>
              <w:numPr>
                <w:ilvl w:val="0"/>
                <w:numId w:val="14"/>
              </w:numPr>
              <w:ind w:left="227" w:hanging="227"/>
              <w:rPr>
                <w:sz w:val="20"/>
                <w:szCs w:val="20"/>
              </w:rPr>
            </w:pPr>
            <w:r w:rsidRPr="004452E5">
              <w:rPr>
                <w:sz w:val="20"/>
                <w:szCs w:val="20"/>
              </w:rPr>
              <w:t>Unitec’s performance has been consistently above the sector benchmark since 2012.</w:t>
            </w:r>
          </w:p>
          <w:p w14:paraId="162E2ADE" w14:textId="77777777" w:rsidR="002A267A" w:rsidRPr="004452E5" w:rsidRDefault="002A267A" w:rsidP="004452E5">
            <w:pPr>
              <w:pStyle w:val="ListParagraph"/>
              <w:numPr>
                <w:ilvl w:val="0"/>
                <w:numId w:val="14"/>
              </w:numPr>
              <w:ind w:left="227" w:hanging="227"/>
              <w:rPr>
                <w:sz w:val="20"/>
                <w:szCs w:val="20"/>
              </w:rPr>
            </w:pPr>
            <w:r w:rsidRPr="004452E5">
              <w:rPr>
                <w:sz w:val="20"/>
                <w:szCs w:val="20"/>
              </w:rPr>
              <w:t>Unitec successfully met the Investment Target of 78% for 2018, so did the International and under 25s priority groups.</w:t>
            </w:r>
          </w:p>
          <w:p w14:paraId="042F44EC" w14:textId="77777777" w:rsidR="002A267A" w:rsidRPr="004452E5" w:rsidRDefault="002A267A" w:rsidP="004A5B1F">
            <w:pPr>
              <w:jc w:val="center"/>
              <w:rPr>
                <w:sz w:val="20"/>
                <w:szCs w:val="20"/>
              </w:rPr>
            </w:pPr>
          </w:p>
        </w:tc>
        <w:tc>
          <w:tcPr>
            <w:tcW w:w="6350" w:type="dxa"/>
          </w:tcPr>
          <w:p w14:paraId="2473B3AE" w14:textId="77777777" w:rsidR="002A267A" w:rsidRPr="004452E5" w:rsidRDefault="002A267A" w:rsidP="004452E5">
            <w:pPr>
              <w:pStyle w:val="ListParagraph"/>
              <w:numPr>
                <w:ilvl w:val="0"/>
                <w:numId w:val="14"/>
              </w:numPr>
              <w:ind w:left="227" w:hanging="227"/>
              <w:rPr>
                <w:sz w:val="20"/>
                <w:szCs w:val="20"/>
              </w:rPr>
            </w:pPr>
            <w:r w:rsidRPr="004452E5">
              <w:rPr>
                <w:sz w:val="20"/>
                <w:szCs w:val="20"/>
              </w:rPr>
              <w:t xml:space="preserve">The above average performance has levelled off to 81.7% in 2018, the lowest over the past 6 years.  </w:t>
            </w:r>
          </w:p>
          <w:p w14:paraId="05C0D88E" w14:textId="77777777" w:rsidR="002A267A" w:rsidRDefault="002A267A" w:rsidP="004452E5">
            <w:pPr>
              <w:pStyle w:val="ListParagraph"/>
              <w:numPr>
                <w:ilvl w:val="0"/>
                <w:numId w:val="14"/>
              </w:numPr>
              <w:ind w:left="227" w:hanging="227"/>
              <w:rPr>
                <w:sz w:val="20"/>
                <w:szCs w:val="20"/>
              </w:rPr>
            </w:pPr>
            <w:r>
              <w:rPr>
                <w:sz w:val="20"/>
                <w:szCs w:val="20"/>
              </w:rPr>
              <w:t>While only three</w:t>
            </w:r>
            <w:r w:rsidRPr="004452E5">
              <w:rPr>
                <w:sz w:val="20"/>
                <w:szCs w:val="20"/>
              </w:rPr>
              <w:t xml:space="preserve"> schools out of 11 f</w:t>
            </w:r>
            <w:r>
              <w:rPr>
                <w:sz w:val="20"/>
                <w:szCs w:val="20"/>
              </w:rPr>
              <w:t>ailed to meet the target, a majority, i.e. eight</w:t>
            </w:r>
            <w:r w:rsidRPr="004452E5">
              <w:rPr>
                <w:sz w:val="20"/>
                <w:szCs w:val="20"/>
              </w:rPr>
              <w:t xml:space="preserve"> schools</w:t>
            </w:r>
            <w:r>
              <w:rPr>
                <w:sz w:val="20"/>
                <w:szCs w:val="20"/>
              </w:rPr>
              <w:t>, showed</w:t>
            </w:r>
            <w:r w:rsidRPr="004452E5">
              <w:rPr>
                <w:sz w:val="20"/>
                <w:szCs w:val="20"/>
              </w:rPr>
              <w:t xml:space="preserve"> a decrease from 2017 to 2018.</w:t>
            </w:r>
          </w:p>
          <w:p w14:paraId="524077DB" w14:textId="77777777" w:rsidR="002A267A" w:rsidRPr="0043085C" w:rsidRDefault="002A267A" w:rsidP="004A0CA8">
            <w:pPr>
              <w:pStyle w:val="ListParagraph"/>
              <w:numPr>
                <w:ilvl w:val="0"/>
                <w:numId w:val="14"/>
              </w:numPr>
              <w:ind w:left="227" w:hanging="227"/>
              <w:rPr>
                <w:sz w:val="20"/>
                <w:szCs w:val="20"/>
              </w:rPr>
            </w:pPr>
            <w:r w:rsidRPr="0043085C">
              <w:rPr>
                <w:sz w:val="20"/>
                <w:szCs w:val="20"/>
              </w:rPr>
              <w:t xml:space="preserve">Both Māori and Pacific priority groups (and most schools within the </w:t>
            </w:r>
            <w:r>
              <w:rPr>
                <w:sz w:val="20"/>
                <w:szCs w:val="20"/>
              </w:rPr>
              <w:t>groups) did not meet the target, and the gaps have been clearly widening between both groups and their respective cohorts since 2014.</w:t>
            </w:r>
          </w:p>
        </w:tc>
      </w:tr>
      <w:tr w:rsidR="002A267A" w:rsidRPr="004452E5" w14:paraId="4FFAF838" w14:textId="77777777" w:rsidTr="002A267A">
        <w:tc>
          <w:tcPr>
            <w:tcW w:w="1290" w:type="dxa"/>
          </w:tcPr>
          <w:p w14:paraId="39EC2D71" w14:textId="77777777" w:rsidR="002A267A" w:rsidRPr="004452E5" w:rsidRDefault="002A267A" w:rsidP="004A5B1F">
            <w:pPr>
              <w:rPr>
                <w:b/>
                <w:sz w:val="20"/>
                <w:szCs w:val="20"/>
              </w:rPr>
            </w:pPr>
            <w:r w:rsidRPr="004452E5">
              <w:rPr>
                <w:b/>
                <w:sz w:val="20"/>
                <w:szCs w:val="20"/>
              </w:rPr>
              <w:t>Qualification Completion</w:t>
            </w:r>
          </w:p>
        </w:tc>
        <w:tc>
          <w:tcPr>
            <w:tcW w:w="5822" w:type="dxa"/>
          </w:tcPr>
          <w:p w14:paraId="47738660" w14:textId="77777777" w:rsidR="002A267A" w:rsidRPr="004452E5" w:rsidRDefault="002A267A" w:rsidP="004452E5">
            <w:pPr>
              <w:pStyle w:val="ListParagraph"/>
              <w:numPr>
                <w:ilvl w:val="0"/>
                <w:numId w:val="14"/>
              </w:numPr>
              <w:ind w:left="227" w:hanging="227"/>
              <w:rPr>
                <w:sz w:val="20"/>
                <w:szCs w:val="20"/>
              </w:rPr>
            </w:pPr>
            <w:r w:rsidRPr="004452E5">
              <w:rPr>
                <w:sz w:val="20"/>
                <w:szCs w:val="20"/>
              </w:rPr>
              <w:t>2018 Unitec Cohort-based qualification completion (54%) is above 2017 ITP sector average (53.15%), which has been consistently above the ITP sector average since 2009.</w:t>
            </w:r>
          </w:p>
          <w:p w14:paraId="35F6F4D5" w14:textId="5185BA73" w:rsidR="002A267A" w:rsidRPr="004452E5" w:rsidRDefault="002A267A" w:rsidP="004452E5">
            <w:pPr>
              <w:pStyle w:val="ListParagraph"/>
              <w:numPr>
                <w:ilvl w:val="0"/>
                <w:numId w:val="14"/>
              </w:numPr>
              <w:ind w:left="227" w:hanging="227"/>
              <w:rPr>
                <w:sz w:val="20"/>
                <w:szCs w:val="20"/>
              </w:rPr>
            </w:pPr>
            <w:r w:rsidRPr="004452E5">
              <w:rPr>
                <w:sz w:val="20"/>
                <w:szCs w:val="20"/>
              </w:rPr>
              <w:t xml:space="preserve">The variance between Māori and non-Māori students has </w:t>
            </w:r>
            <w:r w:rsidR="00DE09C1">
              <w:rPr>
                <w:sz w:val="20"/>
                <w:szCs w:val="20"/>
              </w:rPr>
              <w:t>decreased</w:t>
            </w:r>
            <w:r w:rsidR="00DE09C1" w:rsidRPr="004452E5">
              <w:rPr>
                <w:sz w:val="20"/>
                <w:szCs w:val="20"/>
              </w:rPr>
              <w:t xml:space="preserve"> </w:t>
            </w:r>
            <w:r w:rsidRPr="004452E5">
              <w:rPr>
                <w:sz w:val="20"/>
                <w:szCs w:val="20"/>
              </w:rPr>
              <w:t>by 3.2%.</w:t>
            </w:r>
          </w:p>
          <w:p w14:paraId="5E1B4EB1" w14:textId="77777777" w:rsidR="002A267A" w:rsidRPr="004452E5" w:rsidRDefault="002A267A" w:rsidP="004452E5">
            <w:pPr>
              <w:pStyle w:val="ListParagraph"/>
              <w:numPr>
                <w:ilvl w:val="0"/>
                <w:numId w:val="14"/>
              </w:numPr>
              <w:ind w:left="227" w:hanging="227"/>
              <w:rPr>
                <w:sz w:val="20"/>
                <w:szCs w:val="20"/>
              </w:rPr>
            </w:pPr>
            <w:r>
              <w:rPr>
                <w:sz w:val="20"/>
                <w:szCs w:val="20"/>
              </w:rPr>
              <w:t>Des</w:t>
            </w:r>
            <w:r w:rsidRPr="004452E5">
              <w:rPr>
                <w:sz w:val="20"/>
                <w:szCs w:val="20"/>
              </w:rPr>
              <w:t>p</w:t>
            </w:r>
            <w:r>
              <w:rPr>
                <w:sz w:val="20"/>
                <w:szCs w:val="20"/>
              </w:rPr>
              <w:t>i</w:t>
            </w:r>
            <w:r w:rsidRPr="004452E5">
              <w:rPr>
                <w:sz w:val="20"/>
                <w:szCs w:val="20"/>
              </w:rPr>
              <w:t>te a small decrease in the Under 25 students</w:t>
            </w:r>
            <w:r>
              <w:rPr>
                <w:sz w:val="20"/>
                <w:szCs w:val="20"/>
              </w:rPr>
              <w:t>’</w:t>
            </w:r>
            <w:r w:rsidRPr="004452E5">
              <w:rPr>
                <w:sz w:val="20"/>
                <w:szCs w:val="20"/>
              </w:rPr>
              <w:t xml:space="preserve"> qualification completion rate by 3%, it is still above ITP sector average.</w:t>
            </w:r>
          </w:p>
          <w:p w14:paraId="58A6C8CC" w14:textId="77777777" w:rsidR="002A267A" w:rsidRPr="004452E5" w:rsidRDefault="002A267A" w:rsidP="004A5B1F">
            <w:pPr>
              <w:pStyle w:val="ListParagraph"/>
              <w:ind w:left="227"/>
              <w:rPr>
                <w:sz w:val="20"/>
                <w:szCs w:val="20"/>
              </w:rPr>
            </w:pPr>
            <w:r w:rsidRPr="004452E5">
              <w:rPr>
                <w:sz w:val="20"/>
                <w:szCs w:val="20"/>
              </w:rPr>
              <w:t xml:space="preserve">Although a little bit below the sector average (62%) International students qualification completion rate continued increasing since 2012.(62.8 % in 2018) </w:t>
            </w:r>
          </w:p>
        </w:tc>
        <w:tc>
          <w:tcPr>
            <w:tcW w:w="6350" w:type="dxa"/>
          </w:tcPr>
          <w:p w14:paraId="1172148D" w14:textId="77777777" w:rsidR="002A267A" w:rsidRPr="004452E5" w:rsidRDefault="002A267A" w:rsidP="004452E5">
            <w:pPr>
              <w:pStyle w:val="ListParagraph"/>
              <w:numPr>
                <w:ilvl w:val="0"/>
                <w:numId w:val="14"/>
              </w:numPr>
              <w:ind w:left="227" w:hanging="227"/>
              <w:rPr>
                <w:sz w:val="20"/>
                <w:szCs w:val="20"/>
              </w:rPr>
            </w:pPr>
            <w:r w:rsidRPr="004452E5">
              <w:rPr>
                <w:sz w:val="20"/>
                <w:szCs w:val="20"/>
              </w:rPr>
              <w:t>2018 Overall Cohort-based qualification completion rate had declined by 4% following steady growth over the past 4 years.</w:t>
            </w:r>
          </w:p>
          <w:p w14:paraId="608B21EA" w14:textId="77777777" w:rsidR="002A267A" w:rsidRPr="004452E5" w:rsidRDefault="002A267A" w:rsidP="004452E5">
            <w:pPr>
              <w:pStyle w:val="ListParagraph"/>
              <w:numPr>
                <w:ilvl w:val="0"/>
                <w:numId w:val="14"/>
              </w:numPr>
              <w:ind w:left="227" w:hanging="227"/>
              <w:rPr>
                <w:sz w:val="20"/>
                <w:szCs w:val="20"/>
              </w:rPr>
            </w:pPr>
            <w:r w:rsidRPr="004452E5">
              <w:rPr>
                <w:sz w:val="20"/>
                <w:szCs w:val="20"/>
              </w:rPr>
              <w:t xml:space="preserve">The qualification completion rate for </w:t>
            </w:r>
            <w:r>
              <w:rPr>
                <w:sz w:val="20"/>
                <w:szCs w:val="20"/>
              </w:rPr>
              <w:t>P</w:t>
            </w:r>
            <w:r w:rsidRPr="004452E5">
              <w:rPr>
                <w:sz w:val="20"/>
                <w:szCs w:val="20"/>
              </w:rPr>
              <w:t>acific students dropped by 8.7% between 2017 - 2018</w:t>
            </w:r>
          </w:p>
          <w:p w14:paraId="54A0ECCB" w14:textId="77777777" w:rsidR="002A267A" w:rsidRPr="004452E5" w:rsidRDefault="002A267A" w:rsidP="004452E5">
            <w:pPr>
              <w:pStyle w:val="ListParagraph"/>
              <w:numPr>
                <w:ilvl w:val="0"/>
                <w:numId w:val="14"/>
              </w:numPr>
              <w:ind w:left="227" w:hanging="227"/>
              <w:rPr>
                <w:sz w:val="20"/>
                <w:szCs w:val="20"/>
              </w:rPr>
            </w:pPr>
            <w:r w:rsidRPr="004452E5">
              <w:rPr>
                <w:sz w:val="20"/>
                <w:szCs w:val="20"/>
              </w:rPr>
              <w:t>The variance gap between Pacific and non-Pacific students increased to 16.4%.</w:t>
            </w:r>
          </w:p>
          <w:p w14:paraId="3CA8F8F8" w14:textId="77777777" w:rsidR="002A267A" w:rsidRPr="004452E5" w:rsidRDefault="002A267A" w:rsidP="004A5B1F">
            <w:pPr>
              <w:pStyle w:val="ListParagraph"/>
              <w:ind w:left="227"/>
              <w:rPr>
                <w:sz w:val="20"/>
                <w:szCs w:val="20"/>
              </w:rPr>
            </w:pPr>
          </w:p>
          <w:p w14:paraId="3964180A" w14:textId="77777777" w:rsidR="002A267A" w:rsidRPr="004452E5" w:rsidRDefault="002A267A" w:rsidP="004D1B6B">
            <w:pPr>
              <w:pStyle w:val="ListParagraph"/>
              <w:ind w:left="227"/>
              <w:rPr>
                <w:sz w:val="20"/>
                <w:szCs w:val="20"/>
              </w:rPr>
            </w:pPr>
          </w:p>
        </w:tc>
      </w:tr>
      <w:tr w:rsidR="002A267A" w:rsidRPr="004452E5" w14:paraId="68FCD8BF" w14:textId="77777777" w:rsidTr="002A267A">
        <w:tc>
          <w:tcPr>
            <w:tcW w:w="1290" w:type="dxa"/>
          </w:tcPr>
          <w:p w14:paraId="6A116C36" w14:textId="77777777" w:rsidR="002A267A" w:rsidRPr="004452E5" w:rsidRDefault="002A267A" w:rsidP="004A5B1F">
            <w:pPr>
              <w:rPr>
                <w:b/>
                <w:sz w:val="20"/>
                <w:szCs w:val="20"/>
              </w:rPr>
            </w:pPr>
            <w:r w:rsidRPr="004452E5">
              <w:rPr>
                <w:b/>
                <w:sz w:val="20"/>
                <w:szCs w:val="20"/>
              </w:rPr>
              <w:t>First Year Retention</w:t>
            </w:r>
          </w:p>
        </w:tc>
        <w:tc>
          <w:tcPr>
            <w:tcW w:w="5822" w:type="dxa"/>
          </w:tcPr>
          <w:p w14:paraId="470086A2" w14:textId="77777777" w:rsidR="002A267A" w:rsidRPr="004452E5" w:rsidRDefault="002A267A" w:rsidP="004452E5">
            <w:pPr>
              <w:pStyle w:val="ListParagraph"/>
              <w:numPr>
                <w:ilvl w:val="0"/>
                <w:numId w:val="14"/>
              </w:numPr>
              <w:ind w:left="227" w:hanging="227"/>
              <w:rPr>
                <w:sz w:val="20"/>
                <w:szCs w:val="20"/>
              </w:rPr>
            </w:pPr>
            <w:r w:rsidRPr="004452E5">
              <w:rPr>
                <w:sz w:val="20"/>
                <w:szCs w:val="20"/>
              </w:rPr>
              <w:t>Unitec’s performance has been consistently above the sector benchmark for the last 10 years.</w:t>
            </w:r>
          </w:p>
          <w:p w14:paraId="7A39BE21" w14:textId="77777777" w:rsidR="002A267A" w:rsidRPr="004452E5" w:rsidRDefault="002A267A" w:rsidP="004452E5">
            <w:pPr>
              <w:pStyle w:val="ListParagraph"/>
              <w:numPr>
                <w:ilvl w:val="0"/>
                <w:numId w:val="14"/>
              </w:numPr>
              <w:ind w:left="227" w:hanging="227"/>
              <w:rPr>
                <w:sz w:val="20"/>
                <w:szCs w:val="20"/>
              </w:rPr>
            </w:pPr>
            <w:r w:rsidRPr="004452E5">
              <w:rPr>
                <w:sz w:val="20"/>
                <w:szCs w:val="20"/>
              </w:rPr>
              <w:t>Unitec successfully met the Investment Target of 66% for 2018, and so did the International priority groups.</w:t>
            </w:r>
          </w:p>
        </w:tc>
        <w:tc>
          <w:tcPr>
            <w:tcW w:w="6350" w:type="dxa"/>
          </w:tcPr>
          <w:p w14:paraId="143FEA8F" w14:textId="77777777" w:rsidR="002A267A" w:rsidRPr="004452E5" w:rsidRDefault="002A267A" w:rsidP="004452E5">
            <w:pPr>
              <w:pStyle w:val="ListParagraph"/>
              <w:numPr>
                <w:ilvl w:val="0"/>
                <w:numId w:val="14"/>
              </w:numPr>
              <w:ind w:left="227" w:hanging="227"/>
              <w:rPr>
                <w:sz w:val="20"/>
                <w:szCs w:val="20"/>
              </w:rPr>
            </w:pPr>
            <w:r>
              <w:rPr>
                <w:sz w:val="20"/>
                <w:szCs w:val="20"/>
              </w:rPr>
              <w:t>The First Year Retention Rate</w:t>
            </w:r>
            <w:r w:rsidRPr="004452E5">
              <w:rPr>
                <w:sz w:val="20"/>
                <w:szCs w:val="20"/>
              </w:rPr>
              <w:t xml:space="preserve"> fluctuated with no particular stable pattern over the past 10 years.</w:t>
            </w:r>
          </w:p>
          <w:p w14:paraId="73161915" w14:textId="77777777" w:rsidR="002A267A" w:rsidRPr="00240DE2" w:rsidRDefault="002A267A" w:rsidP="004A5B1F">
            <w:pPr>
              <w:pStyle w:val="ListParagraph"/>
              <w:numPr>
                <w:ilvl w:val="0"/>
                <w:numId w:val="14"/>
              </w:numPr>
              <w:ind w:left="227" w:hanging="227"/>
              <w:rPr>
                <w:sz w:val="20"/>
                <w:szCs w:val="20"/>
              </w:rPr>
            </w:pPr>
            <w:r>
              <w:rPr>
                <w:sz w:val="20"/>
                <w:szCs w:val="20"/>
              </w:rPr>
              <w:t>While only t</w:t>
            </w:r>
            <w:r w:rsidRPr="00240DE2">
              <w:rPr>
                <w:sz w:val="20"/>
                <w:szCs w:val="20"/>
              </w:rPr>
              <w:t xml:space="preserve">wo schools failed to meet the target in 2018, </w:t>
            </w:r>
            <w:r>
              <w:rPr>
                <w:sz w:val="20"/>
                <w:szCs w:val="20"/>
              </w:rPr>
              <w:t>half of the schools (i.e. five) showed</w:t>
            </w:r>
            <w:r w:rsidRPr="00240DE2">
              <w:rPr>
                <w:sz w:val="20"/>
                <w:szCs w:val="20"/>
              </w:rPr>
              <w:t xml:space="preserve"> a decrease from 2017 to 2018.</w:t>
            </w:r>
          </w:p>
          <w:p w14:paraId="31CD301E" w14:textId="77777777" w:rsidR="002A267A" w:rsidRPr="004452E5" w:rsidRDefault="002A267A" w:rsidP="004452E5">
            <w:pPr>
              <w:pStyle w:val="ListParagraph"/>
              <w:numPr>
                <w:ilvl w:val="0"/>
                <w:numId w:val="14"/>
              </w:numPr>
              <w:ind w:left="227" w:hanging="227"/>
              <w:rPr>
                <w:sz w:val="20"/>
                <w:szCs w:val="20"/>
              </w:rPr>
            </w:pPr>
            <w:r w:rsidRPr="004452E5">
              <w:rPr>
                <w:sz w:val="20"/>
                <w:szCs w:val="20"/>
              </w:rPr>
              <w:t>Māori, Pacific and Under 25s and at least a third of the schools in each group failed to meet the target.</w:t>
            </w:r>
          </w:p>
          <w:p w14:paraId="27BBC18C" w14:textId="77777777" w:rsidR="002A267A" w:rsidRPr="004452E5" w:rsidRDefault="002A267A" w:rsidP="004A5B1F">
            <w:pPr>
              <w:rPr>
                <w:sz w:val="20"/>
                <w:szCs w:val="20"/>
              </w:rPr>
            </w:pPr>
          </w:p>
        </w:tc>
      </w:tr>
      <w:tr w:rsidR="002A267A" w:rsidRPr="004452E5" w14:paraId="002AA6C5" w14:textId="77777777" w:rsidTr="002A267A">
        <w:tc>
          <w:tcPr>
            <w:tcW w:w="1290" w:type="dxa"/>
          </w:tcPr>
          <w:p w14:paraId="4713FCC4" w14:textId="77777777" w:rsidR="002A267A" w:rsidRPr="004452E5" w:rsidRDefault="002A267A" w:rsidP="004A5B1F">
            <w:pPr>
              <w:rPr>
                <w:b/>
                <w:sz w:val="20"/>
                <w:szCs w:val="20"/>
              </w:rPr>
            </w:pPr>
            <w:r w:rsidRPr="004452E5">
              <w:rPr>
                <w:b/>
                <w:sz w:val="20"/>
                <w:szCs w:val="20"/>
              </w:rPr>
              <w:t>Graduates Employed, Studying or Combining (GESC)</w:t>
            </w:r>
          </w:p>
        </w:tc>
        <w:tc>
          <w:tcPr>
            <w:tcW w:w="5822" w:type="dxa"/>
          </w:tcPr>
          <w:p w14:paraId="50367893" w14:textId="77777777" w:rsidR="002A267A" w:rsidRPr="004452E5" w:rsidRDefault="002A267A" w:rsidP="004452E5">
            <w:pPr>
              <w:pStyle w:val="ListParagraph"/>
              <w:numPr>
                <w:ilvl w:val="0"/>
                <w:numId w:val="13"/>
              </w:numPr>
              <w:ind w:left="175" w:hanging="141"/>
              <w:rPr>
                <w:sz w:val="20"/>
                <w:szCs w:val="20"/>
              </w:rPr>
            </w:pPr>
            <w:r w:rsidRPr="004452E5">
              <w:rPr>
                <w:sz w:val="20"/>
                <w:szCs w:val="20"/>
              </w:rPr>
              <w:t>Highest level of grad</w:t>
            </w:r>
            <w:r>
              <w:rPr>
                <w:sz w:val="20"/>
                <w:szCs w:val="20"/>
              </w:rPr>
              <w:t>uates</w:t>
            </w:r>
            <w:r w:rsidRPr="004452E5">
              <w:rPr>
                <w:sz w:val="20"/>
                <w:szCs w:val="20"/>
              </w:rPr>
              <w:t xml:space="preserve"> in paid work over past 10 years</w:t>
            </w:r>
          </w:p>
          <w:p w14:paraId="54BC80F5" w14:textId="77777777" w:rsidR="002A267A" w:rsidRPr="004452E5" w:rsidRDefault="002A267A" w:rsidP="004452E5">
            <w:pPr>
              <w:pStyle w:val="ListParagraph"/>
              <w:numPr>
                <w:ilvl w:val="0"/>
                <w:numId w:val="14"/>
              </w:numPr>
              <w:ind w:left="227" w:hanging="227"/>
              <w:rPr>
                <w:sz w:val="20"/>
                <w:szCs w:val="20"/>
              </w:rPr>
            </w:pPr>
            <w:r w:rsidRPr="004452E5">
              <w:rPr>
                <w:sz w:val="20"/>
                <w:szCs w:val="20"/>
              </w:rPr>
              <w:t>Continued strong performance for M</w:t>
            </w:r>
            <w:r w:rsidRPr="004452E5">
              <w:rPr>
                <w:sz w:val="20"/>
                <w:szCs w:val="20"/>
                <w:lang w:val="mi-NZ"/>
              </w:rPr>
              <w:t>āori and Pacific</w:t>
            </w:r>
            <w:r w:rsidRPr="004452E5">
              <w:rPr>
                <w:sz w:val="20"/>
                <w:szCs w:val="20"/>
              </w:rPr>
              <w:t xml:space="preserve"> </w:t>
            </w:r>
          </w:p>
        </w:tc>
        <w:tc>
          <w:tcPr>
            <w:tcW w:w="6350" w:type="dxa"/>
          </w:tcPr>
          <w:p w14:paraId="5EAC23E0" w14:textId="77777777" w:rsidR="002A267A" w:rsidRPr="004452E5" w:rsidRDefault="002A267A" w:rsidP="004D1B6B">
            <w:pPr>
              <w:pStyle w:val="ListParagraph"/>
              <w:numPr>
                <w:ilvl w:val="0"/>
                <w:numId w:val="14"/>
              </w:numPr>
              <w:ind w:left="227" w:hanging="227"/>
              <w:rPr>
                <w:sz w:val="20"/>
                <w:szCs w:val="20"/>
              </w:rPr>
            </w:pPr>
            <w:r w:rsidRPr="004452E5">
              <w:rPr>
                <w:sz w:val="20"/>
                <w:szCs w:val="20"/>
              </w:rPr>
              <w:t>GESC 2019 decline to be 3% below previous years and target – driven by decline in further study</w:t>
            </w:r>
          </w:p>
          <w:p w14:paraId="0CE91F4C" w14:textId="77777777" w:rsidR="002A267A" w:rsidRPr="004452E5" w:rsidRDefault="002A267A" w:rsidP="004D1B6B">
            <w:pPr>
              <w:pStyle w:val="ListParagraph"/>
              <w:numPr>
                <w:ilvl w:val="0"/>
                <w:numId w:val="14"/>
              </w:numPr>
              <w:ind w:left="227" w:hanging="227"/>
              <w:rPr>
                <w:sz w:val="20"/>
                <w:szCs w:val="20"/>
              </w:rPr>
            </w:pPr>
            <w:r>
              <w:rPr>
                <w:sz w:val="20"/>
                <w:szCs w:val="20"/>
              </w:rPr>
              <w:t>Eight</w:t>
            </w:r>
            <w:r w:rsidRPr="004452E5">
              <w:rPr>
                <w:sz w:val="20"/>
                <w:szCs w:val="20"/>
              </w:rPr>
              <w:t xml:space="preserve"> out of 11 schools below target</w:t>
            </w:r>
          </w:p>
          <w:p w14:paraId="66624EB2" w14:textId="77777777" w:rsidR="002A267A" w:rsidRPr="004452E5" w:rsidRDefault="002A267A" w:rsidP="004D1B6B">
            <w:pPr>
              <w:pStyle w:val="ListParagraph"/>
              <w:numPr>
                <w:ilvl w:val="0"/>
                <w:numId w:val="14"/>
              </w:numPr>
              <w:ind w:left="227" w:hanging="227"/>
              <w:rPr>
                <w:sz w:val="20"/>
                <w:szCs w:val="20"/>
              </w:rPr>
            </w:pPr>
            <w:r w:rsidRPr="004452E5">
              <w:rPr>
                <w:sz w:val="20"/>
                <w:szCs w:val="20"/>
              </w:rPr>
              <w:t>Large variation across schools (lowest 55%, highest 90%)</w:t>
            </w:r>
          </w:p>
          <w:p w14:paraId="6471E352" w14:textId="77777777" w:rsidR="002A267A" w:rsidRPr="004452E5" w:rsidRDefault="002A267A" w:rsidP="004D1B6B">
            <w:pPr>
              <w:pStyle w:val="ListParagraph"/>
              <w:numPr>
                <w:ilvl w:val="0"/>
                <w:numId w:val="14"/>
              </w:numPr>
              <w:ind w:left="227" w:hanging="227"/>
              <w:rPr>
                <w:sz w:val="20"/>
                <w:szCs w:val="20"/>
              </w:rPr>
            </w:pPr>
            <w:r w:rsidRPr="004452E5">
              <w:rPr>
                <w:sz w:val="20"/>
                <w:szCs w:val="20"/>
              </w:rPr>
              <w:t>Significant decline over last 2 years for International graduates</w:t>
            </w:r>
          </w:p>
        </w:tc>
      </w:tr>
    </w:tbl>
    <w:p w14:paraId="7F4C8F35" w14:textId="77777777" w:rsidR="004452E5" w:rsidRDefault="004452E5" w:rsidP="005101BA">
      <w:pPr>
        <w:rPr>
          <w:vertAlign w:val="superscript"/>
        </w:rPr>
        <w:sectPr w:rsidR="004452E5" w:rsidSect="004452E5">
          <w:pgSz w:w="16838" w:h="11906" w:orient="landscape"/>
          <w:pgMar w:top="1440" w:right="1440" w:bottom="1440" w:left="1440" w:header="709" w:footer="709" w:gutter="0"/>
          <w:cols w:space="708"/>
          <w:docGrid w:linePitch="360"/>
        </w:sectPr>
      </w:pPr>
    </w:p>
    <w:p w14:paraId="371ED493" w14:textId="77777777" w:rsidR="004872D9" w:rsidRDefault="004872D9" w:rsidP="00844097">
      <w:pPr>
        <w:pStyle w:val="Heading1"/>
        <w:spacing w:after="160"/>
      </w:pPr>
      <w:r>
        <w:lastRenderedPageBreak/>
        <w:t xml:space="preserve">Total EFTS for Unitec </w:t>
      </w:r>
    </w:p>
    <w:p w14:paraId="34CDD80E" w14:textId="77777777" w:rsidR="005101BA" w:rsidRDefault="008357AE" w:rsidP="008357AE">
      <w:pPr>
        <w:rPr>
          <w:iCs/>
        </w:rPr>
      </w:pPr>
      <w:r>
        <w:rPr>
          <w:iCs/>
        </w:rPr>
        <w:t xml:space="preserve">As can be seen in the table below, Total EFTS across Schools have fallen year on year across the 2015-2018 period, contributing to a </w:t>
      </w:r>
      <w:r w:rsidR="00EB7080">
        <w:rPr>
          <w:iCs/>
        </w:rPr>
        <w:t>25.8</w:t>
      </w:r>
      <w:r>
        <w:rPr>
          <w:iCs/>
        </w:rPr>
        <w:t>% decline in EFTS across Unitec overall. One School bucks this trend. Building Construction has seen year on year growth –</w:t>
      </w:r>
      <w:r w:rsidR="00EB7080">
        <w:rPr>
          <w:iCs/>
        </w:rPr>
        <w:t xml:space="preserve"> </w:t>
      </w:r>
      <w:r w:rsidR="00797D03">
        <w:rPr>
          <w:iCs/>
        </w:rPr>
        <w:t xml:space="preserve">a total of </w:t>
      </w:r>
      <w:r w:rsidR="008208FF" w:rsidRPr="00B57839">
        <w:rPr>
          <w:iCs/>
        </w:rPr>
        <w:t>31.2</w:t>
      </w:r>
      <w:r w:rsidRPr="00B57839">
        <w:rPr>
          <w:iCs/>
        </w:rPr>
        <w:t>%</w:t>
      </w:r>
      <w:r w:rsidR="001E5958" w:rsidRPr="00B57839">
        <w:rPr>
          <w:iCs/>
        </w:rPr>
        <w:t xml:space="preserve"> </w:t>
      </w:r>
      <w:r w:rsidR="001E5958">
        <w:rPr>
          <w:iCs/>
        </w:rPr>
        <w:t>overall</w:t>
      </w:r>
      <w:r>
        <w:rPr>
          <w:iCs/>
        </w:rPr>
        <w:t xml:space="preserve"> over the same period. </w:t>
      </w:r>
    </w:p>
    <w:tbl>
      <w:tblPr>
        <w:tblW w:w="9639" w:type="dxa"/>
        <w:tblInd w:w="-5" w:type="dxa"/>
        <w:tblBorders>
          <w:top w:val="single" w:sz="4" w:space="0" w:color="9BC2E6"/>
          <w:left w:val="single" w:sz="4" w:space="0" w:color="9BC2E6"/>
          <w:bottom w:val="single" w:sz="4" w:space="0" w:color="9BC2E6"/>
          <w:right w:val="single" w:sz="4" w:space="0" w:color="9BC2E6"/>
        </w:tblBorders>
        <w:tblLook w:val="04A0" w:firstRow="1" w:lastRow="0" w:firstColumn="1" w:lastColumn="0" w:noHBand="0" w:noVBand="1"/>
      </w:tblPr>
      <w:tblGrid>
        <w:gridCol w:w="3740"/>
        <w:gridCol w:w="960"/>
        <w:gridCol w:w="960"/>
        <w:gridCol w:w="960"/>
        <w:gridCol w:w="960"/>
        <w:gridCol w:w="2059"/>
      </w:tblGrid>
      <w:tr w:rsidR="00B94ED1" w:rsidRPr="00CD4B9B" w14:paraId="3C9583CC" w14:textId="77777777" w:rsidTr="00844097">
        <w:trPr>
          <w:trHeight w:val="300"/>
        </w:trPr>
        <w:tc>
          <w:tcPr>
            <w:tcW w:w="9639" w:type="dxa"/>
            <w:gridSpan w:val="6"/>
            <w:shd w:val="clear" w:color="auto" w:fill="2E74B5" w:themeFill="accent1" w:themeFillShade="BF"/>
            <w:noWrap/>
            <w:vAlign w:val="bottom"/>
          </w:tcPr>
          <w:p w14:paraId="57E663F5" w14:textId="77777777" w:rsidR="00B94ED1" w:rsidRPr="00844097" w:rsidRDefault="00B94ED1" w:rsidP="00CD4B9B">
            <w:pPr>
              <w:spacing w:after="0" w:line="240" w:lineRule="auto"/>
              <w:jc w:val="center"/>
              <w:rPr>
                <w:rFonts w:ascii="Calibri" w:eastAsia="Times New Roman" w:hAnsi="Calibri" w:cs="Calibri"/>
                <w:b/>
                <w:bCs/>
                <w:color w:val="FFFFFF"/>
                <w:sz w:val="28"/>
                <w:szCs w:val="28"/>
                <w:lang w:eastAsia="en-NZ"/>
              </w:rPr>
            </w:pPr>
            <w:r w:rsidRPr="00844097">
              <w:rPr>
                <w:rFonts w:ascii="Calibri" w:eastAsia="Times New Roman" w:hAnsi="Calibri" w:cs="Calibri"/>
                <w:b/>
                <w:bCs/>
                <w:color w:val="FFFFFF"/>
                <w:sz w:val="28"/>
                <w:szCs w:val="28"/>
                <w:lang w:eastAsia="en-NZ"/>
              </w:rPr>
              <w:t xml:space="preserve">Total EFTS </w:t>
            </w:r>
          </w:p>
        </w:tc>
      </w:tr>
      <w:tr w:rsidR="00EC2C16" w:rsidRPr="00CD4B9B" w14:paraId="25D18BC8" w14:textId="77777777" w:rsidTr="00844097">
        <w:trPr>
          <w:trHeight w:val="300"/>
        </w:trPr>
        <w:tc>
          <w:tcPr>
            <w:tcW w:w="3740" w:type="dxa"/>
            <w:shd w:val="clear" w:color="auto" w:fill="2E74B5" w:themeFill="accent1" w:themeFillShade="BF"/>
            <w:noWrap/>
            <w:vAlign w:val="bottom"/>
            <w:hideMark/>
          </w:tcPr>
          <w:p w14:paraId="4EEE0220" w14:textId="77777777" w:rsidR="00EC2C16" w:rsidRPr="00CD4B9B" w:rsidRDefault="00EC2C16" w:rsidP="00CD4B9B">
            <w:pPr>
              <w:spacing w:after="0" w:line="240" w:lineRule="auto"/>
              <w:rPr>
                <w:rFonts w:ascii="Calibri" w:eastAsia="Times New Roman" w:hAnsi="Calibri" w:cs="Calibri"/>
                <w:b/>
                <w:bCs/>
                <w:color w:val="FFFFFF"/>
                <w:lang w:eastAsia="en-NZ"/>
              </w:rPr>
            </w:pPr>
            <w:r w:rsidRPr="00CD4B9B">
              <w:rPr>
                <w:rFonts w:ascii="Calibri" w:eastAsia="Times New Roman" w:hAnsi="Calibri" w:cs="Calibri"/>
                <w:b/>
                <w:bCs/>
                <w:color w:val="FFFFFF"/>
                <w:lang w:eastAsia="en-NZ"/>
              </w:rPr>
              <w:t xml:space="preserve">School </w:t>
            </w:r>
          </w:p>
        </w:tc>
        <w:tc>
          <w:tcPr>
            <w:tcW w:w="960" w:type="dxa"/>
            <w:shd w:val="clear" w:color="auto" w:fill="2E74B5" w:themeFill="accent1" w:themeFillShade="BF"/>
            <w:noWrap/>
            <w:vAlign w:val="bottom"/>
            <w:hideMark/>
          </w:tcPr>
          <w:p w14:paraId="1BD45760" w14:textId="77777777" w:rsidR="00EC2C16" w:rsidRPr="00CD4B9B" w:rsidRDefault="00EC2C16" w:rsidP="00CD4B9B">
            <w:pPr>
              <w:spacing w:after="0" w:line="240" w:lineRule="auto"/>
              <w:jc w:val="right"/>
              <w:rPr>
                <w:rFonts w:ascii="Calibri" w:eastAsia="Times New Roman" w:hAnsi="Calibri" w:cs="Calibri"/>
                <w:b/>
                <w:bCs/>
                <w:color w:val="FFFFFF"/>
                <w:lang w:eastAsia="en-NZ"/>
              </w:rPr>
            </w:pPr>
            <w:r w:rsidRPr="00CD4B9B">
              <w:rPr>
                <w:rFonts w:ascii="Calibri" w:eastAsia="Times New Roman" w:hAnsi="Calibri" w:cs="Calibri"/>
                <w:b/>
                <w:bCs/>
                <w:color w:val="FFFFFF"/>
                <w:lang w:eastAsia="en-NZ"/>
              </w:rPr>
              <w:t>2015</w:t>
            </w:r>
          </w:p>
        </w:tc>
        <w:tc>
          <w:tcPr>
            <w:tcW w:w="960" w:type="dxa"/>
            <w:shd w:val="clear" w:color="auto" w:fill="2E74B5" w:themeFill="accent1" w:themeFillShade="BF"/>
            <w:noWrap/>
            <w:vAlign w:val="bottom"/>
            <w:hideMark/>
          </w:tcPr>
          <w:p w14:paraId="3C28B7DF" w14:textId="77777777" w:rsidR="00EC2C16" w:rsidRPr="00CD4B9B" w:rsidRDefault="00EC2C16" w:rsidP="00CD4B9B">
            <w:pPr>
              <w:spacing w:after="0" w:line="240" w:lineRule="auto"/>
              <w:jc w:val="right"/>
              <w:rPr>
                <w:rFonts w:ascii="Calibri" w:eastAsia="Times New Roman" w:hAnsi="Calibri" w:cs="Calibri"/>
                <w:b/>
                <w:bCs/>
                <w:color w:val="FFFFFF"/>
                <w:lang w:eastAsia="en-NZ"/>
              </w:rPr>
            </w:pPr>
            <w:r w:rsidRPr="00CD4B9B">
              <w:rPr>
                <w:rFonts w:ascii="Calibri" w:eastAsia="Times New Roman" w:hAnsi="Calibri" w:cs="Calibri"/>
                <w:b/>
                <w:bCs/>
                <w:color w:val="FFFFFF"/>
                <w:lang w:eastAsia="en-NZ"/>
              </w:rPr>
              <w:t>2016</w:t>
            </w:r>
          </w:p>
        </w:tc>
        <w:tc>
          <w:tcPr>
            <w:tcW w:w="960" w:type="dxa"/>
            <w:shd w:val="clear" w:color="auto" w:fill="2E74B5" w:themeFill="accent1" w:themeFillShade="BF"/>
            <w:noWrap/>
            <w:vAlign w:val="bottom"/>
            <w:hideMark/>
          </w:tcPr>
          <w:p w14:paraId="0122B01F" w14:textId="77777777" w:rsidR="00EC2C16" w:rsidRPr="00CD4B9B" w:rsidRDefault="00EC2C16" w:rsidP="00CD4B9B">
            <w:pPr>
              <w:spacing w:after="0" w:line="240" w:lineRule="auto"/>
              <w:jc w:val="right"/>
              <w:rPr>
                <w:rFonts w:ascii="Calibri" w:eastAsia="Times New Roman" w:hAnsi="Calibri" w:cs="Calibri"/>
                <w:b/>
                <w:bCs/>
                <w:color w:val="FFFFFF"/>
                <w:lang w:eastAsia="en-NZ"/>
              </w:rPr>
            </w:pPr>
            <w:r w:rsidRPr="00CD4B9B">
              <w:rPr>
                <w:rFonts w:ascii="Calibri" w:eastAsia="Times New Roman" w:hAnsi="Calibri" w:cs="Calibri"/>
                <w:b/>
                <w:bCs/>
                <w:color w:val="FFFFFF"/>
                <w:lang w:eastAsia="en-NZ"/>
              </w:rPr>
              <w:t>2017</w:t>
            </w:r>
          </w:p>
        </w:tc>
        <w:tc>
          <w:tcPr>
            <w:tcW w:w="960" w:type="dxa"/>
            <w:shd w:val="clear" w:color="auto" w:fill="2E74B5" w:themeFill="accent1" w:themeFillShade="BF"/>
            <w:noWrap/>
            <w:vAlign w:val="bottom"/>
            <w:hideMark/>
          </w:tcPr>
          <w:p w14:paraId="2ACB3B07" w14:textId="77777777" w:rsidR="00EC2C16" w:rsidRPr="00CD4B9B" w:rsidRDefault="00EC2C16" w:rsidP="00CD4B9B">
            <w:pPr>
              <w:spacing w:after="0" w:line="240" w:lineRule="auto"/>
              <w:jc w:val="right"/>
              <w:rPr>
                <w:rFonts w:ascii="Calibri" w:eastAsia="Times New Roman" w:hAnsi="Calibri" w:cs="Calibri"/>
                <w:b/>
                <w:bCs/>
                <w:color w:val="FFFFFF"/>
                <w:lang w:eastAsia="en-NZ"/>
              </w:rPr>
            </w:pPr>
            <w:r w:rsidRPr="00CD4B9B">
              <w:rPr>
                <w:rFonts w:ascii="Calibri" w:eastAsia="Times New Roman" w:hAnsi="Calibri" w:cs="Calibri"/>
                <w:b/>
                <w:bCs/>
                <w:color w:val="FFFFFF"/>
                <w:lang w:eastAsia="en-NZ"/>
              </w:rPr>
              <w:t>2018</w:t>
            </w:r>
          </w:p>
        </w:tc>
        <w:tc>
          <w:tcPr>
            <w:tcW w:w="2059" w:type="dxa"/>
            <w:shd w:val="clear" w:color="auto" w:fill="2E74B5" w:themeFill="accent1" w:themeFillShade="BF"/>
          </w:tcPr>
          <w:p w14:paraId="51A44400" w14:textId="77777777" w:rsidR="00EC2C16" w:rsidRPr="00CD4B9B" w:rsidRDefault="00EC2C16" w:rsidP="00EC2C16">
            <w:pPr>
              <w:spacing w:after="0" w:line="240" w:lineRule="auto"/>
              <w:jc w:val="right"/>
              <w:rPr>
                <w:rFonts w:ascii="Calibri" w:eastAsia="Times New Roman" w:hAnsi="Calibri" w:cs="Calibri"/>
                <w:b/>
                <w:bCs/>
                <w:color w:val="FFFFFF"/>
                <w:lang w:eastAsia="en-NZ"/>
              </w:rPr>
            </w:pPr>
            <w:r>
              <w:rPr>
                <w:rFonts w:ascii="Calibri" w:eastAsia="Times New Roman" w:hAnsi="Calibri" w:cs="Calibri"/>
                <w:b/>
                <w:bCs/>
                <w:color w:val="FFFFFF"/>
                <w:lang w:eastAsia="en-NZ"/>
              </w:rPr>
              <w:t>Percentage change in 2015-2018</w:t>
            </w:r>
          </w:p>
        </w:tc>
      </w:tr>
      <w:tr w:rsidR="00EC2C16" w:rsidRPr="00CD4B9B" w14:paraId="63E0470A" w14:textId="77777777" w:rsidTr="00844097">
        <w:trPr>
          <w:trHeight w:val="300"/>
        </w:trPr>
        <w:tc>
          <w:tcPr>
            <w:tcW w:w="3740" w:type="dxa"/>
            <w:shd w:val="clear" w:color="DDEBF7" w:fill="DDEBF7"/>
            <w:noWrap/>
            <w:vAlign w:val="bottom"/>
            <w:hideMark/>
          </w:tcPr>
          <w:p w14:paraId="72EC364B" w14:textId="77777777" w:rsidR="00EC2C16" w:rsidRPr="00CD4B9B" w:rsidRDefault="00EC2C16" w:rsidP="00EC2C16">
            <w:pPr>
              <w:spacing w:after="0" w:line="240" w:lineRule="auto"/>
              <w:rPr>
                <w:rFonts w:ascii="Calibri" w:eastAsia="Times New Roman" w:hAnsi="Calibri" w:cs="Calibri"/>
                <w:color w:val="000000"/>
                <w:lang w:eastAsia="en-NZ"/>
              </w:rPr>
            </w:pPr>
            <w:r w:rsidRPr="00CD4B9B">
              <w:rPr>
                <w:rFonts w:ascii="Calibri" w:eastAsia="Times New Roman" w:hAnsi="Calibri" w:cs="Calibri"/>
                <w:color w:val="000000"/>
                <w:lang w:eastAsia="en-NZ"/>
              </w:rPr>
              <w:t>Applied Business</w:t>
            </w:r>
          </w:p>
        </w:tc>
        <w:tc>
          <w:tcPr>
            <w:tcW w:w="960" w:type="dxa"/>
            <w:shd w:val="clear" w:color="DDEBF7" w:fill="DDEBF7"/>
            <w:noWrap/>
            <w:vAlign w:val="bottom"/>
            <w:hideMark/>
          </w:tcPr>
          <w:p w14:paraId="6AEBD5C0"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1546.2</w:t>
            </w:r>
          </w:p>
        </w:tc>
        <w:tc>
          <w:tcPr>
            <w:tcW w:w="960" w:type="dxa"/>
            <w:shd w:val="clear" w:color="DDEBF7" w:fill="DDEBF7"/>
            <w:noWrap/>
            <w:vAlign w:val="bottom"/>
            <w:hideMark/>
          </w:tcPr>
          <w:p w14:paraId="7474265A"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1220.3</w:t>
            </w:r>
          </w:p>
        </w:tc>
        <w:tc>
          <w:tcPr>
            <w:tcW w:w="960" w:type="dxa"/>
            <w:shd w:val="clear" w:color="DDEBF7" w:fill="DDEBF7"/>
            <w:noWrap/>
            <w:vAlign w:val="bottom"/>
            <w:hideMark/>
          </w:tcPr>
          <w:p w14:paraId="26F0316D"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978.6</w:t>
            </w:r>
          </w:p>
        </w:tc>
        <w:tc>
          <w:tcPr>
            <w:tcW w:w="960" w:type="dxa"/>
            <w:shd w:val="clear" w:color="DDEBF7" w:fill="DDEBF7"/>
            <w:noWrap/>
            <w:vAlign w:val="bottom"/>
            <w:hideMark/>
          </w:tcPr>
          <w:p w14:paraId="67A4D745"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740.3</w:t>
            </w:r>
          </w:p>
        </w:tc>
        <w:tc>
          <w:tcPr>
            <w:tcW w:w="2059" w:type="dxa"/>
            <w:shd w:val="clear" w:color="DDEBF7" w:fill="DDEBF7"/>
          </w:tcPr>
          <w:p w14:paraId="39E36681"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531FFE">
              <w:t>-52.1%</w:t>
            </w:r>
          </w:p>
        </w:tc>
      </w:tr>
      <w:tr w:rsidR="00EC2C16" w:rsidRPr="00CD4B9B" w14:paraId="6283EBA2" w14:textId="77777777" w:rsidTr="00844097">
        <w:trPr>
          <w:trHeight w:val="300"/>
        </w:trPr>
        <w:tc>
          <w:tcPr>
            <w:tcW w:w="3740" w:type="dxa"/>
            <w:shd w:val="clear" w:color="auto" w:fill="auto"/>
            <w:noWrap/>
            <w:vAlign w:val="bottom"/>
            <w:hideMark/>
          </w:tcPr>
          <w:p w14:paraId="2E124538" w14:textId="77777777" w:rsidR="00EC2C16" w:rsidRPr="00CD4B9B" w:rsidRDefault="00EC2C16" w:rsidP="00EC2C16">
            <w:pPr>
              <w:spacing w:after="0" w:line="240" w:lineRule="auto"/>
              <w:rPr>
                <w:rFonts w:ascii="Calibri" w:eastAsia="Times New Roman" w:hAnsi="Calibri" w:cs="Calibri"/>
                <w:color w:val="000000"/>
                <w:lang w:eastAsia="en-NZ"/>
              </w:rPr>
            </w:pPr>
            <w:r w:rsidRPr="00CD4B9B">
              <w:rPr>
                <w:rFonts w:ascii="Calibri" w:eastAsia="Times New Roman" w:hAnsi="Calibri" w:cs="Calibri"/>
                <w:color w:val="000000"/>
                <w:lang w:eastAsia="en-NZ"/>
              </w:rPr>
              <w:t>Architecture</w:t>
            </w:r>
          </w:p>
        </w:tc>
        <w:tc>
          <w:tcPr>
            <w:tcW w:w="960" w:type="dxa"/>
            <w:shd w:val="clear" w:color="auto" w:fill="auto"/>
            <w:noWrap/>
            <w:vAlign w:val="bottom"/>
            <w:hideMark/>
          </w:tcPr>
          <w:p w14:paraId="0DF62F1E"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686.9</w:t>
            </w:r>
          </w:p>
        </w:tc>
        <w:tc>
          <w:tcPr>
            <w:tcW w:w="960" w:type="dxa"/>
            <w:shd w:val="clear" w:color="auto" w:fill="auto"/>
            <w:noWrap/>
            <w:vAlign w:val="bottom"/>
            <w:hideMark/>
          </w:tcPr>
          <w:p w14:paraId="387A4719"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680.4</w:t>
            </w:r>
          </w:p>
        </w:tc>
        <w:tc>
          <w:tcPr>
            <w:tcW w:w="960" w:type="dxa"/>
            <w:shd w:val="clear" w:color="auto" w:fill="auto"/>
            <w:noWrap/>
            <w:vAlign w:val="bottom"/>
            <w:hideMark/>
          </w:tcPr>
          <w:p w14:paraId="46066293"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613.5</w:t>
            </w:r>
          </w:p>
        </w:tc>
        <w:tc>
          <w:tcPr>
            <w:tcW w:w="960" w:type="dxa"/>
            <w:shd w:val="clear" w:color="auto" w:fill="auto"/>
            <w:noWrap/>
            <w:vAlign w:val="bottom"/>
            <w:hideMark/>
          </w:tcPr>
          <w:p w14:paraId="7E0068BB"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585.1</w:t>
            </w:r>
          </w:p>
        </w:tc>
        <w:tc>
          <w:tcPr>
            <w:tcW w:w="2059" w:type="dxa"/>
          </w:tcPr>
          <w:p w14:paraId="70BECB23"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531FFE">
              <w:t>-14.8%</w:t>
            </w:r>
          </w:p>
        </w:tc>
      </w:tr>
      <w:tr w:rsidR="00EC2C16" w:rsidRPr="00CD4B9B" w14:paraId="1C91F81F" w14:textId="77777777" w:rsidTr="00844097">
        <w:trPr>
          <w:trHeight w:val="300"/>
        </w:trPr>
        <w:tc>
          <w:tcPr>
            <w:tcW w:w="3740" w:type="dxa"/>
            <w:shd w:val="clear" w:color="DDEBF7" w:fill="DDEBF7"/>
            <w:noWrap/>
            <w:vAlign w:val="bottom"/>
            <w:hideMark/>
          </w:tcPr>
          <w:p w14:paraId="79F391AC" w14:textId="77777777" w:rsidR="00EC2C16" w:rsidRPr="00CD4B9B" w:rsidRDefault="00EC2C16" w:rsidP="00EC2C16">
            <w:pPr>
              <w:spacing w:after="0" w:line="240" w:lineRule="auto"/>
              <w:rPr>
                <w:rFonts w:ascii="Calibri" w:eastAsia="Times New Roman" w:hAnsi="Calibri" w:cs="Calibri"/>
                <w:color w:val="000000"/>
                <w:lang w:eastAsia="en-NZ"/>
              </w:rPr>
            </w:pPr>
            <w:r w:rsidRPr="00CD4B9B">
              <w:rPr>
                <w:rFonts w:ascii="Calibri" w:eastAsia="Times New Roman" w:hAnsi="Calibri" w:cs="Calibri"/>
                <w:color w:val="000000"/>
                <w:lang w:eastAsia="en-NZ"/>
              </w:rPr>
              <w:t>Bridgepoint</w:t>
            </w:r>
          </w:p>
        </w:tc>
        <w:tc>
          <w:tcPr>
            <w:tcW w:w="960" w:type="dxa"/>
            <w:shd w:val="clear" w:color="DDEBF7" w:fill="DDEBF7"/>
            <w:noWrap/>
            <w:vAlign w:val="bottom"/>
            <w:hideMark/>
          </w:tcPr>
          <w:p w14:paraId="10285BF0"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927.3</w:t>
            </w:r>
          </w:p>
        </w:tc>
        <w:tc>
          <w:tcPr>
            <w:tcW w:w="960" w:type="dxa"/>
            <w:shd w:val="clear" w:color="DDEBF7" w:fill="DDEBF7"/>
            <w:noWrap/>
            <w:vAlign w:val="bottom"/>
            <w:hideMark/>
          </w:tcPr>
          <w:p w14:paraId="775BC1C1"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748.4</w:t>
            </w:r>
          </w:p>
        </w:tc>
        <w:tc>
          <w:tcPr>
            <w:tcW w:w="960" w:type="dxa"/>
            <w:shd w:val="clear" w:color="DDEBF7" w:fill="DDEBF7"/>
            <w:noWrap/>
            <w:vAlign w:val="bottom"/>
            <w:hideMark/>
          </w:tcPr>
          <w:p w14:paraId="1624F277"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770.7</w:t>
            </w:r>
          </w:p>
        </w:tc>
        <w:tc>
          <w:tcPr>
            <w:tcW w:w="960" w:type="dxa"/>
            <w:shd w:val="clear" w:color="DDEBF7" w:fill="DDEBF7"/>
            <w:noWrap/>
            <w:vAlign w:val="bottom"/>
            <w:hideMark/>
          </w:tcPr>
          <w:p w14:paraId="227681B2"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725.8</w:t>
            </w:r>
          </w:p>
        </w:tc>
        <w:tc>
          <w:tcPr>
            <w:tcW w:w="2059" w:type="dxa"/>
            <w:shd w:val="clear" w:color="DDEBF7" w:fill="DDEBF7"/>
          </w:tcPr>
          <w:p w14:paraId="375A4190"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531FFE">
              <w:t>-21.7%</w:t>
            </w:r>
          </w:p>
        </w:tc>
      </w:tr>
      <w:tr w:rsidR="00EC2C16" w:rsidRPr="00CD4B9B" w14:paraId="1C4E8E24" w14:textId="77777777" w:rsidTr="00844097">
        <w:trPr>
          <w:trHeight w:val="300"/>
        </w:trPr>
        <w:tc>
          <w:tcPr>
            <w:tcW w:w="3740" w:type="dxa"/>
            <w:shd w:val="clear" w:color="auto" w:fill="auto"/>
            <w:noWrap/>
            <w:vAlign w:val="bottom"/>
            <w:hideMark/>
          </w:tcPr>
          <w:p w14:paraId="26E889B1" w14:textId="77777777" w:rsidR="00EC2C16" w:rsidRPr="00CD4B9B" w:rsidRDefault="00EC2C16" w:rsidP="00EC2C16">
            <w:pPr>
              <w:spacing w:after="0" w:line="240" w:lineRule="auto"/>
              <w:rPr>
                <w:rFonts w:ascii="Calibri" w:eastAsia="Times New Roman" w:hAnsi="Calibri" w:cs="Calibri"/>
                <w:color w:val="000000"/>
                <w:lang w:eastAsia="en-NZ"/>
              </w:rPr>
            </w:pPr>
            <w:r w:rsidRPr="00CD4B9B">
              <w:rPr>
                <w:rFonts w:ascii="Calibri" w:eastAsia="Times New Roman" w:hAnsi="Calibri" w:cs="Calibri"/>
                <w:color w:val="000000"/>
                <w:lang w:eastAsia="en-NZ"/>
              </w:rPr>
              <w:t>Building Construction</w:t>
            </w:r>
          </w:p>
        </w:tc>
        <w:tc>
          <w:tcPr>
            <w:tcW w:w="960" w:type="dxa"/>
            <w:shd w:val="clear" w:color="auto" w:fill="auto"/>
            <w:noWrap/>
            <w:vAlign w:val="bottom"/>
            <w:hideMark/>
          </w:tcPr>
          <w:p w14:paraId="41F70944"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723</w:t>
            </w:r>
          </w:p>
        </w:tc>
        <w:tc>
          <w:tcPr>
            <w:tcW w:w="960" w:type="dxa"/>
            <w:shd w:val="clear" w:color="auto" w:fill="auto"/>
            <w:noWrap/>
            <w:vAlign w:val="bottom"/>
            <w:hideMark/>
          </w:tcPr>
          <w:p w14:paraId="3D2B57DC"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807.2</w:t>
            </w:r>
          </w:p>
        </w:tc>
        <w:tc>
          <w:tcPr>
            <w:tcW w:w="960" w:type="dxa"/>
            <w:shd w:val="clear" w:color="auto" w:fill="auto"/>
            <w:noWrap/>
            <w:vAlign w:val="bottom"/>
            <w:hideMark/>
          </w:tcPr>
          <w:p w14:paraId="42D66AD0"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861.3</w:t>
            </w:r>
          </w:p>
        </w:tc>
        <w:tc>
          <w:tcPr>
            <w:tcW w:w="960" w:type="dxa"/>
            <w:shd w:val="clear" w:color="auto" w:fill="auto"/>
            <w:noWrap/>
            <w:vAlign w:val="bottom"/>
            <w:hideMark/>
          </w:tcPr>
          <w:p w14:paraId="36CC89E0"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948.4</w:t>
            </w:r>
          </w:p>
        </w:tc>
        <w:tc>
          <w:tcPr>
            <w:tcW w:w="2059" w:type="dxa"/>
          </w:tcPr>
          <w:p w14:paraId="5FD227D2"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531FFE">
              <w:t>31.2%</w:t>
            </w:r>
          </w:p>
        </w:tc>
      </w:tr>
      <w:tr w:rsidR="00EC2C16" w:rsidRPr="00CD4B9B" w14:paraId="4D66D587" w14:textId="77777777" w:rsidTr="00844097">
        <w:trPr>
          <w:trHeight w:val="300"/>
        </w:trPr>
        <w:tc>
          <w:tcPr>
            <w:tcW w:w="3740" w:type="dxa"/>
            <w:shd w:val="clear" w:color="DDEBF7" w:fill="DDEBF7"/>
            <w:noWrap/>
            <w:vAlign w:val="bottom"/>
            <w:hideMark/>
          </w:tcPr>
          <w:p w14:paraId="0CAFAF4E" w14:textId="77777777" w:rsidR="00EC2C16" w:rsidRPr="00CD4B9B" w:rsidRDefault="00EC2C16" w:rsidP="00EC2C16">
            <w:pPr>
              <w:spacing w:after="0" w:line="240" w:lineRule="auto"/>
              <w:rPr>
                <w:rFonts w:ascii="Calibri" w:eastAsia="Times New Roman" w:hAnsi="Calibri" w:cs="Calibri"/>
                <w:color w:val="000000"/>
                <w:lang w:eastAsia="en-NZ"/>
              </w:rPr>
            </w:pPr>
            <w:r w:rsidRPr="00CD4B9B">
              <w:rPr>
                <w:rFonts w:ascii="Calibri" w:eastAsia="Times New Roman" w:hAnsi="Calibri" w:cs="Calibri"/>
                <w:color w:val="000000"/>
                <w:lang w:eastAsia="en-NZ"/>
              </w:rPr>
              <w:t>Community Studies</w:t>
            </w:r>
          </w:p>
        </w:tc>
        <w:tc>
          <w:tcPr>
            <w:tcW w:w="960" w:type="dxa"/>
            <w:shd w:val="clear" w:color="DDEBF7" w:fill="DDEBF7"/>
            <w:noWrap/>
            <w:vAlign w:val="bottom"/>
            <w:hideMark/>
          </w:tcPr>
          <w:p w14:paraId="4AE50DF7"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576.7</w:t>
            </w:r>
          </w:p>
        </w:tc>
        <w:tc>
          <w:tcPr>
            <w:tcW w:w="960" w:type="dxa"/>
            <w:shd w:val="clear" w:color="DDEBF7" w:fill="DDEBF7"/>
            <w:noWrap/>
            <w:vAlign w:val="bottom"/>
            <w:hideMark/>
          </w:tcPr>
          <w:p w14:paraId="50559346"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484.7</w:t>
            </w:r>
          </w:p>
        </w:tc>
        <w:tc>
          <w:tcPr>
            <w:tcW w:w="960" w:type="dxa"/>
            <w:shd w:val="clear" w:color="DDEBF7" w:fill="DDEBF7"/>
            <w:noWrap/>
            <w:vAlign w:val="bottom"/>
            <w:hideMark/>
          </w:tcPr>
          <w:p w14:paraId="7DFFB666"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381.3</w:t>
            </w:r>
          </w:p>
        </w:tc>
        <w:tc>
          <w:tcPr>
            <w:tcW w:w="960" w:type="dxa"/>
            <w:shd w:val="clear" w:color="DDEBF7" w:fill="DDEBF7"/>
            <w:noWrap/>
            <w:vAlign w:val="bottom"/>
            <w:hideMark/>
          </w:tcPr>
          <w:p w14:paraId="56055C51"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341.3</w:t>
            </w:r>
          </w:p>
        </w:tc>
        <w:tc>
          <w:tcPr>
            <w:tcW w:w="2059" w:type="dxa"/>
            <w:shd w:val="clear" w:color="DDEBF7" w:fill="DDEBF7"/>
          </w:tcPr>
          <w:p w14:paraId="26B3739B"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531FFE">
              <w:t>-40.8%</w:t>
            </w:r>
          </w:p>
        </w:tc>
      </w:tr>
      <w:tr w:rsidR="00EC2C16" w:rsidRPr="00CD4B9B" w14:paraId="2CF7373C" w14:textId="77777777" w:rsidTr="00844097">
        <w:trPr>
          <w:trHeight w:val="300"/>
        </w:trPr>
        <w:tc>
          <w:tcPr>
            <w:tcW w:w="3740" w:type="dxa"/>
            <w:shd w:val="clear" w:color="auto" w:fill="auto"/>
            <w:noWrap/>
            <w:vAlign w:val="bottom"/>
            <w:hideMark/>
          </w:tcPr>
          <w:p w14:paraId="7D1A7C2C" w14:textId="77777777" w:rsidR="00EC2C16" w:rsidRPr="00CD4B9B" w:rsidRDefault="00EC2C16" w:rsidP="00EC2C16">
            <w:pPr>
              <w:spacing w:after="0" w:line="240" w:lineRule="auto"/>
              <w:rPr>
                <w:rFonts w:ascii="Calibri" w:eastAsia="Times New Roman" w:hAnsi="Calibri" w:cs="Calibri"/>
                <w:color w:val="000000"/>
                <w:lang w:eastAsia="en-NZ"/>
              </w:rPr>
            </w:pPr>
            <w:r w:rsidRPr="00CD4B9B">
              <w:rPr>
                <w:rFonts w:ascii="Calibri" w:eastAsia="Times New Roman" w:hAnsi="Calibri" w:cs="Calibri"/>
                <w:color w:val="000000"/>
                <w:lang w:eastAsia="en-NZ"/>
              </w:rPr>
              <w:t>Computing &amp; Information Technology</w:t>
            </w:r>
          </w:p>
        </w:tc>
        <w:tc>
          <w:tcPr>
            <w:tcW w:w="960" w:type="dxa"/>
            <w:shd w:val="clear" w:color="auto" w:fill="auto"/>
            <w:noWrap/>
            <w:vAlign w:val="bottom"/>
            <w:hideMark/>
          </w:tcPr>
          <w:p w14:paraId="7C1AA5E8"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770.1</w:t>
            </w:r>
          </w:p>
        </w:tc>
        <w:tc>
          <w:tcPr>
            <w:tcW w:w="960" w:type="dxa"/>
            <w:shd w:val="clear" w:color="auto" w:fill="auto"/>
            <w:noWrap/>
            <w:vAlign w:val="bottom"/>
            <w:hideMark/>
          </w:tcPr>
          <w:p w14:paraId="255BB449"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746.4</w:t>
            </w:r>
          </w:p>
        </w:tc>
        <w:tc>
          <w:tcPr>
            <w:tcW w:w="960" w:type="dxa"/>
            <w:shd w:val="clear" w:color="auto" w:fill="auto"/>
            <w:noWrap/>
            <w:vAlign w:val="bottom"/>
            <w:hideMark/>
          </w:tcPr>
          <w:p w14:paraId="4A2029DD"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722.3</w:t>
            </w:r>
          </w:p>
        </w:tc>
        <w:tc>
          <w:tcPr>
            <w:tcW w:w="960" w:type="dxa"/>
            <w:shd w:val="clear" w:color="auto" w:fill="auto"/>
            <w:noWrap/>
            <w:vAlign w:val="bottom"/>
            <w:hideMark/>
          </w:tcPr>
          <w:p w14:paraId="4EF2D8DA"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562.4</w:t>
            </w:r>
          </w:p>
        </w:tc>
        <w:tc>
          <w:tcPr>
            <w:tcW w:w="2059" w:type="dxa"/>
          </w:tcPr>
          <w:p w14:paraId="55760DAB"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531FFE">
              <w:t>-27.0%</w:t>
            </w:r>
          </w:p>
        </w:tc>
      </w:tr>
      <w:tr w:rsidR="00EC2C16" w:rsidRPr="00CD4B9B" w14:paraId="6A6EC633" w14:textId="77777777" w:rsidTr="00844097">
        <w:trPr>
          <w:trHeight w:val="300"/>
        </w:trPr>
        <w:tc>
          <w:tcPr>
            <w:tcW w:w="3740" w:type="dxa"/>
            <w:shd w:val="clear" w:color="DDEBF7" w:fill="DDEBF7"/>
            <w:noWrap/>
            <w:vAlign w:val="bottom"/>
            <w:hideMark/>
          </w:tcPr>
          <w:p w14:paraId="230EB1AB" w14:textId="77777777" w:rsidR="00EC2C16" w:rsidRPr="00CD4B9B" w:rsidRDefault="00EC2C16" w:rsidP="00EC2C16">
            <w:pPr>
              <w:spacing w:after="0" w:line="240" w:lineRule="auto"/>
              <w:rPr>
                <w:rFonts w:ascii="Calibri" w:eastAsia="Times New Roman" w:hAnsi="Calibri" w:cs="Calibri"/>
                <w:color w:val="000000"/>
                <w:lang w:eastAsia="en-NZ"/>
              </w:rPr>
            </w:pPr>
            <w:r w:rsidRPr="00CD4B9B">
              <w:rPr>
                <w:rFonts w:ascii="Calibri" w:eastAsia="Times New Roman" w:hAnsi="Calibri" w:cs="Calibri"/>
                <w:color w:val="000000"/>
                <w:lang w:eastAsia="en-NZ"/>
              </w:rPr>
              <w:t>Creative Industries</w:t>
            </w:r>
          </w:p>
        </w:tc>
        <w:tc>
          <w:tcPr>
            <w:tcW w:w="960" w:type="dxa"/>
            <w:shd w:val="clear" w:color="DDEBF7" w:fill="DDEBF7"/>
            <w:noWrap/>
            <w:vAlign w:val="bottom"/>
            <w:hideMark/>
          </w:tcPr>
          <w:p w14:paraId="05C2C1CB"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656.3</w:t>
            </w:r>
          </w:p>
        </w:tc>
        <w:tc>
          <w:tcPr>
            <w:tcW w:w="960" w:type="dxa"/>
            <w:shd w:val="clear" w:color="DDEBF7" w:fill="DDEBF7"/>
            <w:noWrap/>
            <w:vAlign w:val="bottom"/>
            <w:hideMark/>
          </w:tcPr>
          <w:p w14:paraId="1B9145F7"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547.8</w:t>
            </w:r>
          </w:p>
        </w:tc>
        <w:tc>
          <w:tcPr>
            <w:tcW w:w="960" w:type="dxa"/>
            <w:shd w:val="clear" w:color="DDEBF7" w:fill="DDEBF7"/>
            <w:noWrap/>
            <w:vAlign w:val="bottom"/>
            <w:hideMark/>
          </w:tcPr>
          <w:p w14:paraId="2F35D791"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458.2</w:t>
            </w:r>
          </w:p>
        </w:tc>
        <w:tc>
          <w:tcPr>
            <w:tcW w:w="960" w:type="dxa"/>
            <w:shd w:val="clear" w:color="DDEBF7" w:fill="DDEBF7"/>
            <w:noWrap/>
            <w:vAlign w:val="bottom"/>
            <w:hideMark/>
          </w:tcPr>
          <w:p w14:paraId="3F9BB06A"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397.4</w:t>
            </w:r>
          </w:p>
        </w:tc>
        <w:tc>
          <w:tcPr>
            <w:tcW w:w="2059" w:type="dxa"/>
            <w:shd w:val="clear" w:color="DDEBF7" w:fill="DDEBF7"/>
          </w:tcPr>
          <w:p w14:paraId="52CBAB12"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531FFE">
              <w:t>-39.4%</w:t>
            </w:r>
          </w:p>
        </w:tc>
      </w:tr>
      <w:tr w:rsidR="00EC2C16" w:rsidRPr="00CD4B9B" w14:paraId="6D52FDD5" w14:textId="77777777" w:rsidTr="00844097">
        <w:trPr>
          <w:trHeight w:val="300"/>
        </w:trPr>
        <w:tc>
          <w:tcPr>
            <w:tcW w:w="3740" w:type="dxa"/>
            <w:shd w:val="clear" w:color="auto" w:fill="auto"/>
            <w:noWrap/>
            <w:vAlign w:val="bottom"/>
            <w:hideMark/>
          </w:tcPr>
          <w:p w14:paraId="36B68B9D" w14:textId="77777777" w:rsidR="00EC2C16" w:rsidRPr="00CD4B9B" w:rsidRDefault="00EC2C16" w:rsidP="00EC2C16">
            <w:pPr>
              <w:spacing w:after="0" w:line="240" w:lineRule="auto"/>
              <w:rPr>
                <w:rFonts w:ascii="Calibri" w:eastAsia="Times New Roman" w:hAnsi="Calibri" w:cs="Calibri"/>
                <w:color w:val="000000"/>
                <w:lang w:eastAsia="en-NZ"/>
              </w:rPr>
            </w:pPr>
            <w:r w:rsidRPr="00CD4B9B">
              <w:rPr>
                <w:rFonts w:ascii="Calibri" w:eastAsia="Times New Roman" w:hAnsi="Calibri" w:cs="Calibri"/>
                <w:color w:val="000000"/>
                <w:lang w:eastAsia="en-NZ"/>
              </w:rPr>
              <w:t>Engineering &amp; Applied Technology</w:t>
            </w:r>
          </w:p>
        </w:tc>
        <w:tc>
          <w:tcPr>
            <w:tcW w:w="960" w:type="dxa"/>
            <w:shd w:val="clear" w:color="auto" w:fill="auto"/>
            <w:noWrap/>
            <w:vAlign w:val="bottom"/>
            <w:hideMark/>
          </w:tcPr>
          <w:p w14:paraId="1416CDE5"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861.1</w:t>
            </w:r>
          </w:p>
        </w:tc>
        <w:tc>
          <w:tcPr>
            <w:tcW w:w="960" w:type="dxa"/>
            <w:shd w:val="clear" w:color="auto" w:fill="auto"/>
            <w:noWrap/>
            <w:vAlign w:val="bottom"/>
            <w:hideMark/>
          </w:tcPr>
          <w:p w14:paraId="49E58516"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796.7</w:t>
            </w:r>
          </w:p>
        </w:tc>
        <w:tc>
          <w:tcPr>
            <w:tcW w:w="960" w:type="dxa"/>
            <w:shd w:val="clear" w:color="auto" w:fill="auto"/>
            <w:noWrap/>
            <w:vAlign w:val="bottom"/>
            <w:hideMark/>
          </w:tcPr>
          <w:p w14:paraId="052F6DFE"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778</w:t>
            </w:r>
          </w:p>
        </w:tc>
        <w:tc>
          <w:tcPr>
            <w:tcW w:w="960" w:type="dxa"/>
            <w:shd w:val="clear" w:color="auto" w:fill="auto"/>
            <w:noWrap/>
            <w:vAlign w:val="bottom"/>
            <w:hideMark/>
          </w:tcPr>
          <w:p w14:paraId="079B6A51"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718.9</w:t>
            </w:r>
          </w:p>
        </w:tc>
        <w:tc>
          <w:tcPr>
            <w:tcW w:w="2059" w:type="dxa"/>
          </w:tcPr>
          <w:p w14:paraId="704A4C03"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531FFE">
              <w:t>-16.5%</w:t>
            </w:r>
          </w:p>
        </w:tc>
      </w:tr>
      <w:tr w:rsidR="00EC2C16" w:rsidRPr="00CD4B9B" w14:paraId="3E135EB3" w14:textId="77777777" w:rsidTr="00844097">
        <w:trPr>
          <w:trHeight w:val="300"/>
        </w:trPr>
        <w:tc>
          <w:tcPr>
            <w:tcW w:w="3740" w:type="dxa"/>
            <w:shd w:val="clear" w:color="DDEBF7" w:fill="DDEBF7"/>
            <w:noWrap/>
            <w:vAlign w:val="bottom"/>
            <w:hideMark/>
          </w:tcPr>
          <w:p w14:paraId="23E0C034" w14:textId="77777777" w:rsidR="00EC2C16" w:rsidRPr="00CD4B9B" w:rsidRDefault="00EC2C16" w:rsidP="00EC2C16">
            <w:pPr>
              <w:spacing w:after="0" w:line="240" w:lineRule="auto"/>
              <w:rPr>
                <w:rFonts w:ascii="Calibri" w:eastAsia="Times New Roman" w:hAnsi="Calibri" w:cs="Calibri"/>
                <w:color w:val="000000"/>
                <w:lang w:eastAsia="en-NZ"/>
              </w:rPr>
            </w:pPr>
            <w:r w:rsidRPr="00CD4B9B">
              <w:rPr>
                <w:rFonts w:ascii="Calibri" w:eastAsia="Times New Roman" w:hAnsi="Calibri" w:cs="Calibri"/>
                <w:color w:val="000000"/>
                <w:lang w:eastAsia="en-NZ"/>
              </w:rPr>
              <w:t>Environmental &amp; Animal Sciences</w:t>
            </w:r>
          </w:p>
        </w:tc>
        <w:tc>
          <w:tcPr>
            <w:tcW w:w="960" w:type="dxa"/>
            <w:shd w:val="clear" w:color="DDEBF7" w:fill="DDEBF7"/>
            <w:noWrap/>
            <w:vAlign w:val="bottom"/>
            <w:hideMark/>
          </w:tcPr>
          <w:p w14:paraId="003A4D0E"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421.8</w:t>
            </w:r>
          </w:p>
        </w:tc>
        <w:tc>
          <w:tcPr>
            <w:tcW w:w="960" w:type="dxa"/>
            <w:shd w:val="clear" w:color="DDEBF7" w:fill="DDEBF7"/>
            <w:noWrap/>
            <w:vAlign w:val="bottom"/>
            <w:hideMark/>
          </w:tcPr>
          <w:p w14:paraId="57AAD479"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401</w:t>
            </w:r>
          </w:p>
        </w:tc>
        <w:tc>
          <w:tcPr>
            <w:tcW w:w="960" w:type="dxa"/>
            <w:shd w:val="clear" w:color="DDEBF7" w:fill="DDEBF7"/>
            <w:noWrap/>
            <w:vAlign w:val="bottom"/>
            <w:hideMark/>
          </w:tcPr>
          <w:p w14:paraId="4FA5FD40"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365.4</w:t>
            </w:r>
          </w:p>
        </w:tc>
        <w:tc>
          <w:tcPr>
            <w:tcW w:w="960" w:type="dxa"/>
            <w:shd w:val="clear" w:color="DDEBF7" w:fill="DDEBF7"/>
            <w:noWrap/>
            <w:vAlign w:val="bottom"/>
            <w:hideMark/>
          </w:tcPr>
          <w:p w14:paraId="2DF15991"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374</w:t>
            </w:r>
          </w:p>
        </w:tc>
        <w:tc>
          <w:tcPr>
            <w:tcW w:w="2059" w:type="dxa"/>
            <w:shd w:val="clear" w:color="DDEBF7" w:fill="DDEBF7"/>
          </w:tcPr>
          <w:p w14:paraId="1F05D6EF"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531FFE">
              <w:t>-11.3%</w:t>
            </w:r>
          </w:p>
        </w:tc>
      </w:tr>
      <w:tr w:rsidR="00EC2C16" w:rsidRPr="00CD4B9B" w14:paraId="7EAF6293" w14:textId="77777777" w:rsidTr="00844097">
        <w:trPr>
          <w:trHeight w:val="300"/>
        </w:trPr>
        <w:tc>
          <w:tcPr>
            <w:tcW w:w="3740" w:type="dxa"/>
            <w:shd w:val="clear" w:color="auto" w:fill="auto"/>
            <w:noWrap/>
            <w:vAlign w:val="bottom"/>
            <w:hideMark/>
          </w:tcPr>
          <w:p w14:paraId="0824C4A2" w14:textId="77777777" w:rsidR="00EC2C16" w:rsidRPr="00CD4B9B" w:rsidRDefault="00EC2C16" w:rsidP="00EC2C16">
            <w:pPr>
              <w:spacing w:after="0" w:line="240" w:lineRule="auto"/>
              <w:rPr>
                <w:rFonts w:ascii="Calibri" w:eastAsia="Times New Roman" w:hAnsi="Calibri" w:cs="Calibri"/>
                <w:color w:val="000000"/>
                <w:lang w:eastAsia="en-NZ"/>
              </w:rPr>
            </w:pPr>
            <w:r w:rsidRPr="00CD4B9B">
              <w:rPr>
                <w:rFonts w:ascii="Calibri" w:eastAsia="Times New Roman" w:hAnsi="Calibri" w:cs="Calibri"/>
                <w:color w:val="000000"/>
                <w:lang w:eastAsia="en-NZ"/>
              </w:rPr>
              <w:t>Healthcare &amp; Social Practice</w:t>
            </w:r>
          </w:p>
        </w:tc>
        <w:tc>
          <w:tcPr>
            <w:tcW w:w="960" w:type="dxa"/>
            <w:shd w:val="clear" w:color="auto" w:fill="auto"/>
            <w:noWrap/>
            <w:vAlign w:val="bottom"/>
            <w:hideMark/>
          </w:tcPr>
          <w:p w14:paraId="059838E5"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884.4</w:t>
            </w:r>
          </w:p>
        </w:tc>
        <w:tc>
          <w:tcPr>
            <w:tcW w:w="960" w:type="dxa"/>
            <w:shd w:val="clear" w:color="auto" w:fill="auto"/>
            <w:noWrap/>
            <w:vAlign w:val="bottom"/>
            <w:hideMark/>
          </w:tcPr>
          <w:p w14:paraId="3BCB6BF4"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743.9</w:t>
            </w:r>
          </w:p>
        </w:tc>
        <w:tc>
          <w:tcPr>
            <w:tcW w:w="960" w:type="dxa"/>
            <w:shd w:val="clear" w:color="auto" w:fill="auto"/>
            <w:noWrap/>
            <w:vAlign w:val="bottom"/>
            <w:hideMark/>
          </w:tcPr>
          <w:p w14:paraId="05F9436A"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639.9</w:t>
            </w:r>
          </w:p>
        </w:tc>
        <w:tc>
          <w:tcPr>
            <w:tcW w:w="960" w:type="dxa"/>
            <w:shd w:val="clear" w:color="auto" w:fill="auto"/>
            <w:noWrap/>
            <w:vAlign w:val="bottom"/>
            <w:hideMark/>
          </w:tcPr>
          <w:p w14:paraId="469BEFD5"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590</w:t>
            </w:r>
          </w:p>
        </w:tc>
        <w:tc>
          <w:tcPr>
            <w:tcW w:w="2059" w:type="dxa"/>
          </w:tcPr>
          <w:p w14:paraId="674C8C4D"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531FFE">
              <w:t>-33.3%</w:t>
            </w:r>
          </w:p>
        </w:tc>
      </w:tr>
      <w:tr w:rsidR="00EC2C16" w:rsidRPr="00CD4B9B" w14:paraId="28378B9A" w14:textId="77777777" w:rsidTr="00844097">
        <w:trPr>
          <w:trHeight w:val="300"/>
        </w:trPr>
        <w:tc>
          <w:tcPr>
            <w:tcW w:w="3740" w:type="dxa"/>
            <w:shd w:val="clear" w:color="DDEBF7" w:fill="DDEBF7"/>
            <w:noWrap/>
            <w:vAlign w:val="bottom"/>
            <w:hideMark/>
          </w:tcPr>
          <w:p w14:paraId="2965A43B" w14:textId="77777777" w:rsidR="00EC2C16" w:rsidRPr="00CD4B9B" w:rsidRDefault="00EC2C16" w:rsidP="00EC2C16">
            <w:pPr>
              <w:spacing w:after="0" w:line="240" w:lineRule="auto"/>
              <w:rPr>
                <w:rFonts w:ascii="Calibri" w:eastAsia="Times New Roman" w:hAnsi="Calibri" w:cs="Calibri"/>
                <w:color w:val="000000"/>
                <w:lang w:eastAsia="en-NZ"/>
              </w:rPr>
            </w:pPr>
            <w:r w:rsidRPr="00CD4B9B">
              <w:rPr>
                <w:rFonts w:ascii="Calibri" w:eastAsia="Times New Roman" w:hAnsi="Calibri" w:cs="Calibri"/>
                <w:color w:val="000000"/>
                <w:lang w:eastAsia="en-NZ"/>
              </w:rPr>
              <w:t>Trades &amp; Services</w:t>
            </w:r>
          </w:p>
        </w:tc>
        <w:tc>
          <w:tcPr>
            <w:tcW w:w="960" w:type="dxa"/>
            <w:shd w:val="clear" w:color="DDEBF7" w:fill="DDEBF7"/>
            <w:noWrap/>
            <w:vAlign w:val="bottom"/>
            <w:hideMark/>
          </w:tcPr>
          <w:p w14:paraId="3B5A249B"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1070.7</w:t>
            </w:r>
          </w:p>
        </w:tc>
        <w:tc>
          <w:tcPr>
            <w:tcW w:w="960" w:type="dxa"/>
            <w:shd w:val="clear" w:color="DDEBF7" w:fill="DDEBF7"/>
            <w:noWrap/>
            <w:vAlign w:val="bottom"/>
            <w:hideMark/>
          </w:tcPr>
          <w:p w14:paraId="0C3B187E"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1004.2</w:t>
            </w:r>
          </w:p>
        </w:tc>
        <w:tc>
          <w:tcPr>
            <w:tcW w:w="960" w:type="dxa"/>
            <w:shd w:val="clear" w:color="DDEBF7" w:fill="DDEBF7"/>
            <w:noWrap/>
            <w:vAlign w:val="bottom"/>
            <w:hideMark/>
          </w:tcPr>
          <w:p w14:paraId="52274681"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890.8</w:t>
            </w:r>
          </w:p>
        </w:tc>
        <w:tc>
          <w:tcPr>
            <w:tcW w:w="960" w:type="dxa"/>
            <w:shd w:val="clear" w:color="DDEBF7" w:fill="DDEBF7"/>
            <w:noWrap/>
            <w:vAlign w:val="bottom"/>
            <w:hideMark/>
          </w:tcPr>
          <w:p w14:paraId="47C8AD90"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784</w:t>
            </w:r>
          </w:p>
        </w:tc>
        <w:tc>
          <w:tcPr>
            <w:tcW w:w="2059" w:type="dxa"/>
            <w:shd w:val="clear" w:color="DDEBF7" w:fill="DDEBF7"/>
          </w:tcPr>
          <w:p w14:paraId="78B739F6" w14:textId="77777777" w:rsidR="00EC2C16" w:rsidRPr="00CD4B9B" w:rsidRDefault="00EC2C16" w:rsidP="00EC2C16">
            <w:pPr>
              <w:spacing w:after="0" w:line="240" w:lineRule="auto"/>
              <w:jc w:val="right"/>
              <w:rPr>
                <w:rFonts w:ascii="Calibri" w:eastAsia="Times New Roman" w:hAnsi="Calibri" w:cs="Calibri"/>
                <w:color w:val="000000"/>
                <w:lang w:eastAsia="en-NZ"/>
              </w:rPr>
            </w:pPr>
            <w:r w:rsidRPr="00531FFE">
              <w:t>-26.8%</w:t>
            </w:r>
          </w:p>
        </w:tc>
      </w:tr>
      <w:tr w:rsidR="00EC2C16" w:rsidRPr="00CD4B9B" w14:paraId="36739E95" w14:textId="77777777" w:rsidTr="00844097">
        <w:trPr>
          <w:trHeight w:val="300"/>
        </w:trPr>
        <w:tc>
          <w:tcPr>
            <w:tcW w:w="3740" w:type="dxa"/>
            <w:shd w:val="clear" w:color="auto" w:fill="auto"/>
            <w:noWrap/>
            <w:vAlign w:val="bottom"/>
            <w:hideMark/>
          </w:tcPr>
          <w:p w14:paraId="75F368E3" w14:textId="77777777" w:rsidR="00EC2C16" w:rsidRPr="00CD4B9B" w:rsidRDefault="00EC2C16" w:rsidP="00EC2C16">
            <w:pPr>
              <w:spacing w:after="0" w:line="240" w:lineRule="auto"/>
              <w:rPr>
                <w:rFonts w:ascii="Calibri" w:eastAsia="Times New Roman" w:hAnsi="Calibri" w:cs="Calibri"/>
                <w:b/>
                <w:bCs/>
                <w:color w:val="000000"/>
                <w:lang w:eastAsia="en-NZ"/>
              </w:rPr>
            </w:pPr>
            <w:r w:rsidRPr="00CD4B9B">
              <w:rPr>
                <w:rFonts w:ascii="Calibri" w:eastAsia="Times New Roman" w:hAnsi="Calibri" w:cs="Calibri"/>
                <w:b/>
                <w:bCs/>
                <w:color w:val="000000"/>
                <w:lang w:eastAsia="en-NZ"/>
              </w:rPr>
              <w:t>Total</w:t>
            </w:r>
          </w:p>
        </w:tc>
        <w:tc>
          <w:tcPr>
            <w:tcW w:w="960" w:type="dxa"/>
            <w:shd w:val="clear" w:color="auto" w:fill="auto"/>
            <w:noWrap/>
            <w:vAlign w:val="bottom"/>
            <w:hideMark/>
          </w:tcPr>
          <w:p w14:paraId="160BB36B" w14:textId="77777777" w:rsidR="00EC2C16" w:rsidRPr="00CD4B9B" w:rsidRDefault="00EC2C16" w:rsidP="00EC2C16">
            <w:pPr>
              <w:spacing w:after="0" w:line="240" w:lineRule="auto"/>
              <w:jc w:val="right"/>
              <w:rPr>
                <w:rFonts w:ascii="Calibri" w:eastAsia="Times New Roman" w:hAnsi="Calibri" w:cs="Calibri"/>
                <w:b/>
                <w:bCs/>
                <w:color w:val="000000"/>
                <w:lang w:eastAsia="en-NZ"/>
              </w:rPr>
            </w:pPr>
            <w:r w:rsidRPr="00CD4B9B">
              <w:rPr>
                <w:rFonts w:ascii="Calibri" w:eastAsia="Times New Roman" w:hAnsi="Calibri" w:cs="Calibri"/>
                <w:b/>
                <w:bCs/>
                <w:color w:val="000000"/>
                <w:lang w:eastAsia="en-NZ"/>
              </w:rPr>
              <w:t>9124.5</w:t>
            </w:r>
          </w:p>
        </w:tc>
        <w:tc>
          <w:tcPr>
            <w:tcW w:w="960" w:type="dxa"/>
            <w:shd w:val="clear" w:color="auto" w:fill="auto"/>
            <w:noWrap/>
            <w:vAlign w:val="bottom"/>
            <w:hideMark/>
          </w:tcPr>
          <w:p w14:paraId="59EED986" w14:textId="77777777" w:rsidR="00EC2C16" w:rsidRPr="00CD4B9B" w:rsidRDefault="00EC2C16" w:rsidP="00EC2C16">
            <w:pPr>
              <w:spacing w:after="0" w:line="240" w:lineRule="auto"/>
              <w:jc w:val="right"/>
              <w:rPr>
                <w:rFonts w:ascii="Calibri" w:eastAsia="Times New Roman" w:hAnsi="Calibri" w:cs="Calibri"/>
                <w:b/>
                <w:bCs/>
                <w:color w:val="000000"/>
                <w:lang w:eastAsia="en-NZ"/>
              </w:rPr>
            </w:pPr>
            <w:r w:rsidRPr="00CD4B9B">
              <w:rPr>
                <w:rFonts w:ascii="Calibri" w:eastAsia="Times New Roman" w:hAnsi="Calibri" w:cs="Calibri"/>
                <w:b/>
                <w:bCs/>
                <w:color w:val="000000"/>
                <w:lang w:eastAsia="en-NZ"/>
              </w:rPr>
              <w:t>8181</w:t>
            </w:r>
          </w:p>
        </w:tc>
        <w:tc>
          <w:tcPr>
            <w:tcW w:w="960" w:type="dxa"/>
            <w:shd w:val="clear" w:color="auto" w:fill="auto"/>
            <w:noWrap/>
            <w:vAlign w:val="bottom"/>
            <w:hideMark/>
          </w:tcPr>
          <w:p w14:paraId="3B1BD8B9" w14:textId="77777777" w:rsidR="00EC2C16" w:rsidRPr="00CD4B9B" w:rsidRDefault="00EC2C16" w:rsidP="00EC2C16">
            <w:pPr>
              <w:spacing w:after="0" w:line="240" w:lineRule="auto"/>
              <w:jc w:val="right"/>
              <w:rPr>
                <w:rFonts w:ascii="Calibri" w:eastAsia="Times New Roman" w:hAnsi="Calibri" w:cs="Calibri"/>
                <w:b/>
                <w:bCs/>
                <w:color w:val="000000"/>
                <w:lang w:eastAsia="en-NZ"/>
              </w:rPr>
            </w:pPr>
            <w:r w:rsidRPr="00CD4B9B">
              <w:rPr>
                <w:rFonts w:ascii="Calibri" w:eastAsia="Times New Roman" w:hAnsi="Calibri" w:cs="Calibri"/>
                <w:b/>
                <w:bCs/>
                <w:color w:val="000000"/>
                <w:lang w:eastAsia="en-NZ"/>
              </w:rPr>
              <w:t>7460</w:t>
            </w:r>
          </w:p>
        </w:tc>
        <w:tc>
          <w:tcPr>
            <w:tcW w:w="960" w:type="dxa"/>
            <w:shd w:val="clear" w:color="auto" w:fill="auto"/>
            <w:noWrap/>
            <w:vAlign w:val="bottom"/>
            <w:hideMark/>
          </w:tcPr>
          <w:p w14:paraId="36561264" w14:textId="77777777" w:rsidR="00EC2C16" w:rsidRPr="00CD4B9B" w:rsidRDefault="00EC2C16" w:rsidP="00EC2C16">
            <w:pPr>
              <w:spacing w:after="0" w:line="240" w:lineRule="auto"/>
              <w:jc w:val="right"/>
              <w:rPr>
                <w:rFonts w:ascii="Calibri" w:eastAsia="Times New Roman" w:hAnsi="Calibri" w:cs="Calibri"/>
                <w:b/>
                <w:bCs/>
                <w:color w:val="000000"/>
                <w:lang w:eastAsia="en-NZ"/>
              </w:rPr>
            </w:pPr>
            <w:r w:rsidRPr="00CD4B9B">
              <w:rPr>
                <w:rFonts w:ascii="Calibri" w:eastAsia="Times New Roman" w:hAnsi="Calibri" w:cs="Calibri"/>
                <w:b/>
                <w:bCs/>
                <w:color w:val="000000"/>
                <w:lang w:eastAsia="en-NZ"/>
              </w:rPr>
              <w:t>6767.6</w:t>
            </w:r>
          </w:p>
        </w:tc>
        <w:tc>
          <w:tcPr>
            <w:tcW w:w="2059" w:type="dxa"/>
          </w:tcPr>
          <w:p w14:paraId="1F0C505C" w14:textId="77777777" w:rsidR="00EC2C16" w:rsidRPr="00CD4B9B" w:rsidRDefault="00EC2C16" w:rsidP="00EC2C16">
            <w:pPr>
              <w:spacing w:after="0" w:line="240" w:lineRule="auto"/>
              <w:jc w:val="right"/>
              <w:rPr>
                <w:rFonts w:ascii="Calibri" w:eastAsia="Times New Roman" w:hAnsi="Calibri" w:cs="Calibri"/>
                <w:b/>
                <w:bCs/>
                <w:color w:val="000000"/>
                <w:lang w:eastAsia="en-NZ"/>
              </w:rPr>
            </w:pPr>
            <w:r w:rsidRPr="00531FFE">
              <w:t>-25.8%</w:t>
            </w:r>
          </w:p>
        </w:tc>
      </w:tr>
    </w:tbl>
    <w:p w14:paraId="0C9786B6" w14:textId="77777777" w:rsidR="003667FB" w:rsidRDefault="003667FB"/>
    <w:p w14:paraId="2C1799A8" w14:textId="77777777" w:rsidR="005101BA" w:rsidRDefault="005101BA" w:rsidP="00844097">
      <w:pPr>
        <w:pStyle w:val="Heading1"/>
        <w:numPr>
          <w:ilvl w:val="0"/>
          <w:numId w:val="12"/>
        </w:numPr>
        <w:spacing w:after="160"/>
        <w:ind w:left="482" w:hanging="482"/>
      </w:pPr>
      <w:r>
        <w:t>Successful Course Completion</w:t>
      </w:r>
    </w:p>
    <w:p w14:paraId="206E9BF3" w14:textId="77777777" w:rsidR="005101BA" w:rsidRDefault="00825760" w:rsidP="005101BA">
      <w:pPr>
        <w:pStyle w:val="Heading2"/>
      </w:pPr>
      <w:r>
        <w:t xml:space="preserve">1.1 </w:t>
      </w:r>
      <w:r w:rsidR="005101BA">
        <w:t>Total Unitec</w:t>
      </w:r>
    </w:p>
    <w:p w14:paraId="4E616B8E" w14:textId="77777777" w:rsidR="008B4E7A" w:rsidRDefault="006F2AE6" w:rsidP="006F2AE6">
      <w:r>
        <w:t>Overall Unitec’s SCC rate has</w:t>
      </w:r>
      <w:r w:rsidR="005D51F2">
        <w:t xml:space="preserve"> declined to 81.7% from the </w:t>
      </w:r>
      <w:r w:rsidR="00390586">
        <w:t xml:space="preserve">83.4% </w:t>
      </w:r>
      <w:r w:rsidR="001D2255">
        <w:t>averaged</w:t>
      </w:r>
      <w:r>
        <w:t xml:space="preserve"> over the previous three years. While the Investment Plan target of 78% has been easily achieved, the 81.7% </w:t>
      </w:r>
      <w:r w:rsidR="00797D03">
        <w:t xml:space="preserve">is </w:t>
      </w:r>
      <w:r>
        <w:t xml:space="preserve">on par with the 2017 ITP Sector average of 81.8% and well below the 2017 University Sector average of 87.2%. </w:t>
      </w:r>
      <w:r w:rsidR="00797D03">
        <w:t xml:space="preserve">Sector data is not yet available for 2018. </w:t>
      </w:r>
    </w:p>
    <w:p w14:paraId="0A67FBDC" w14:textId="77777777" w:rsidR="00E013A5" w:rsidRDefault="00E013A5" w:rsidP="006F2AE6">
      <w:r w:rsidRPr="00335A20">
        <w:rPr>
          <w:noProof/>
          <w:lang w:eastAsia="en-NZ"/>
        </w:rPr>
        <w:drawing>
          <wp:inline distT="0" distB="0" distL="0" distR="0" wp14:anchorId="4F0F1811" wp14:editId="111B1241">
            <wp:extent cx="5088255" cy="2894275"/>
            <wp:effectExtent l="0" t="0" r="17145"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35CF28" w14:textId="77777777" w:rsidR="005101BA" w:rsidRDefault="005B1F34" w:rsidP="00531309">
      <w:pPr>
        <w:pStyle w:val="Heading2"/>
      </w:pPr>
      <w:r>
        <w:lastRenderedPageBreak/>
        <w:t>1.</w:t>
      </w:r>
      <w:r w:rsidR="00825760">
        <w:t xml:space="preserve">2 </w:t>
      </w:r>
      <w:r w:rsidR="00531309">
        <w:t>Schools</w:t>
      </w:r>
    </w:p>
    <w:p w14:paraId="7559201F" w14:textId="77777777" w:rsidR="00E013A5" w:rsidRDefault="000E2480" w:rsidP="00E013A5">
      <w:r>
        <w:t>Overall Successful Course Completion</w:t>
      </w:r>
      <w:r w:rsidR="00E013A5">
        <w:t xml:space="preserve"> </w:t>
      </w:r>
      <w:r>
        <w:t xml:space="preserve">(SCC) </w:t>
      </w:r>
      <w:r w:rsidR="001D2255">
        <w:t>rates across s</w:t>
      </w:r>
      <w:r w:rsidR="00E013A5">
        <w:t xml:space="preserve">chools have been widely varied, as the </w:t>
      </w:r>
      <w:r w:rsidR="002E15AC">
        <w:t>table</w:t>
      </w:r>
      <w:r w:rsidR="00E013A5">
        <w:t xml:space="preserve"> below shows. While a number of Schools continue to achieve above average results</w:t>
      </w:r>
      <w:r>
        <w:t xml:space="preserve"> </w:t>
      </w:r>
      <w:r w:rsidR="00E013A5">
        <w:t>(e.g. Creative Industries, Computing &amp; Information Technology), there are also a significant number which have struggled to maintain their SCC rates.</w:t>
      </w:r>
    </w:p>
    <w:p w14:paraId="7732495B" w14:textId="77777777" w:rsidR="00C61E97" w:rsidRDefault="007653CA">
      <w:r>
        <w:t>Over the four-year period of 2015-2018, Building Construction show</w:t>
      </w:r>
      <w:r w:rsidR="00FC73CE">
        <w:t>ed</w:t>
      </w:r>
      <w:r>
        <w:t xml:space="preserve"> </w:t>
      </w:r>
      <w:r w:rsidR="000E2480">
        <w:t>the biggest improvement</w:t>
      </w:r>
      <w:r>
        <w:t xml:space="preserve"> </w:t>
      </w:r>
      <w:r w:rsidR="00C61E97">
        <w:t xml:space="preserve">of 7.6%, </w:t>
      </w:r>
      <w:r w:rsidR="000E2480">
        <w:t>while</w:t>
      </w:r>
      <w:r w:rsidR="00C61E97">
        <w:t xml:space="preserve"> Trades and Services and </w:t>
      </w:r>
      <w:r w:rsidR="000E2480">
        <w:t>Environmental &amp; Animal Sciences experience</w:t>
      </w:r>
      <w:r w:rsidR="00AD41E6">
        <w:t>d</w:t>
      </w:r>
      <w:r w:rsidR="000E2480">
        <w:t xml:space="preserve"> the biggest decline of 7.1%, followed by Engineering and A</w:t>
      </w:r>
      <w:r w:rsidR="005379B4">
        <w:t xml:space="preserve">pplied Technology at 5.1%. </w:t>
      </w:r>
    </w:p>
    <w:p w14:paraId="5F353140" w14:textId="77777777" w:rsidR="005379B4" w:rsidRDefault="005379B4" w:rsidP="005379B4">
      <w:r w:rsidRPr="00943EF0">
        <w:t>Bridgepoint</w:t>
      </w:r>
      <w:r>
        <w:t>, Trades &amp; Services and Engi</w:t>
      </w:r>
      <w:r w:rsidR="00FC73CE">
        <w:t>neering &amp; Applied Technology had</w:t>
      </w:r>
      <w:r>
        <w:t xml:space="preserve"> poor performance in SCC but high EFTS, contributing to a decline in the overall successful course completion rate.</w:t>
      </w:r>
    </w:p>
    <w:tbl>
      <w:tblPr>
        <w:tblW w:w="9235" w:type="dxa"/>
        <w:tblBorders>
          <w:top w:val="single" w:sz="4" w:space="0" w:color="9BC2E6"/>
          <w:left w:val="single" w:sz="4" w:space="0" w:color="9BC2E6"/>
          <w:bottom w:val="single" w:sz="4" w:space="0" w:color="9BC2E6"/>
          <w:right w:val="single" w:sz="4" w:space="0" w:color="9BC2E6"/>
        </w:tblBorders>
        <w:tblLook w:val="04A0" w:firstRow="1" w:lastRow="0" w:firstColumn="1" w:lastColumn="0" w:noHBand="0" w:noVBand="1"/>
      </w:tblPr>
      <w:tblGrid>
        <w:gridCol w:w="2779"/>
        <w:gridCol w:w="838"/>
        <w:gridCol w:w="837"/>
        <w:gridCol w:w="838"/>
        <w:gridCol w:w="977"/>
        <w:gridCol w:w="1116"/>
        <w:gridCol w:w="1017"/>
        <w:gridCol w:w="833"/>
      </w:tblGrid>
      <w:tr w:rsidR="00390586" w:rsidRPr="007653CA" w14:paraId="06F05F23" w14:textId="77777777" w:rsidTr="007B0107">
        <w:trPr>
          <w:trHeight w:val="736"/>
        </w:trPr>
        <w:tc>
          <w:tcPr>
            <w:tcW w:w="9235" w:type="dxa"/>
            <w:gridSpan w:val="8"/>
            <w:shd w:val="clear" w:color="auto" w:fill="2E74B5" w:themeFill="accent1" w:themeFillShade="BF"/>
          </w:tcPr>
          <w:p w14:paraId="16AF5492" w14:textId="77777777" w:rsidR="00844097" w:rsidRDefault="00390586" w:rsidP="00390586">
            <w:pPr>
              <w:spacing w:after="0" w:line="240" w:lineRule="auto"/>
              <w:jc w:val="center"/>
              <w:rPr>
                <w:rFonts w:ascii="Calibri" w:eastAsia="Times New Roman" w:hAnsi="Calibri" w:cs="Calibri"/>
                <w:b/>
                <w:bCs/>
                <w:color w:val="FFFFFF"/>
                <w:sz w:val="28"/>
                <w:szCs w:val="28"/>
                <w:lang w:eastAsia="en-NZ"/>
              </w:rPr>
            </w:pPr>
            <w:r w:rsidRPr="007B0107">
              <w:rPr>
                <w:rFonts w:ascii="Calibri" w:eastAsia="Times New Roman" w:hAnsi="Calibri" w:cs="Calibri"/>
                <w:b/>
                <w:bCs/>
                <w:color w:val="FFFFFF"/>
                <w:sz w:val="28"/>
                <w:szCs w:val="28"/>
                <w:lang w:eastAsia="en-NZ"/>
              </w:rPr>
              <w:t xml:space="preserve">Successful Course Completion Rates, Variance by years </w:t>
            </w:r>
          </w:p>
          <w:p w14:paraId="5F4C233A" w14:textId="77777777" w:rsidR="00390586" w:rsidRPr="007B0107" w:rsidRDefault="00390586" w:rsidP="00844097">
            <w:pPr>
              <w:spacing w:after="0" w:line="240" w:lineRule="auto"/>
              <w:jc w:val="center"/>
              <w:rPr>
                <w:rFonts w:ascii="Calibri" w:eastAsia="Times New Roman" w:hAnsi="Calibri" w:cs="Calibri"/>
                <w:b/>
                <w:bCs/>
                <w:color w:val="FFFFFF"/>
                <w:sz w:val="28"/>
                <w:szCs w:val="28"/>
                <w:lang w:eastAsia="en-NZ"/>
              </w:rPr>
            </w:pPr>
            <w:r w:rsidRPr="007B0107">
              <w:rPr>
                <w:rFonts w:ascii="Calibri" w:eastAsia="Times New Roman" w:hAnsi="Calibri" w:cs="Calibri"/>
                <w:b/>
                <w:bCs/>
                <w:color w:val="FFFFFF"/>
                <w:sz w:val="28"/>
                <w:szCs w:val="28"/>
                <w:lang w:eastAsia="en-NZ"/>
              </w:rPr>
              <w:t>and EFTS in 2018</w:t>
            </w:r>
          </w:p>
        </w:tc>
      </w:tr>
      <w:tr w:rsidR="00C2317D" w:rsidRPr="007653CA" w14:paraId="04D11419" w14:textId="77777777" w:rsidTr="003100EE">
        <w:trPr>
          <w:trHeight w:val="900"/>
        </w:trPr>
        <w:tc>
          <w:tcPr>
            <w:tcW w:w="2779" w:type="dxa"/>
            <w:shd w:val="clear" w:color="auto" w:fill="2E74B5" w:themeFill="accent1" w:themeFillShade="BF"/>
            <w:vAlign w:val="bottom"/>
            <w:hideMark/>
          </w:tcPr>
          <w:p w14:paraId="4E7E66E1" w14:textId="77777777" w:rsidR="00703182" w:rsidRPr="007653CA" w:rsidRDefault="00703182" w:rsidP="007653CA">
            <w:pPr>
              <w:spacing w:after="0" w:line="240" w:lineRule="auto"/>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School</w:t>
            </w:r>
          </w:p>
        </w:tc>
        <w:tc>
          <w:tcPr>
            <w:tcW w:w="838" w:type="dxa"/>
            <w:shd w:val="clear" w:color="auto" w:fill="2E74B5" w:themeFill="accent1" w:themeFillShade="BF"/>
            <w:vAlign w:val="bottom"/>
            <w:hideMark/>
          </w:tcPr>
          <w:p w14:paraId="623DA32C" w14:textId="77777777" w:rsidR="00703182" w:rsidRPr="007653CA" w:rsidRDefault="00703182" w:rsidP="007653CA">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2015</w:t>
            </w:r>
          </w:p>
        </w:tc>
        <w:tc>
          <w:tcPr>
            <w:tcW w:w="837" w:type="dxa"/>
            <w:shd w:val="clear" w:color="auto" w:fill="2E74B5" w:themeFill="accent1" w:themeFillShade="BF"/>
            <w:vAlign w:val="bottom"/>
            <w:hideMark/>
          </w:tcPr>
          <w:p w14:paraId="71A9BC3A" w14:textId="77777777" w:rsidR="00703182" w:rsidRPr="007653CA" w:rsidRDefault="00703182" w:rsidP="007653CA">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2016</w:t>
            </w:r>
          </w:p>
        </w:tc>
        <w:tc>
          <w:tcPr>
            <w:tcW w:w="838" w:type="dxa"/>
            <w:shd w:val="clear" w:color="auto" w:fill="2E74B5" w:themeFill="accent1" w:themeFillShade="BF"/>
            <w:vAlign w:val="bottom"/>
            <w:hideMark/>
          </w:tcPr>
          <w:p w14:paraId="17A6F6D5" w14:textId="77777777" w:rsidR="00703182" w:rsidRPr="007653CA" w:rsidRDefault="00703182" w:rsidP="007653CA">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2017</w:t>
            </w:r>
          </w:p>
        </w:tc>
        <w:tc>
          <w:tcPr>
            <w:tcW w:w="977" w:type="dxa"/>
            <w:shd w:val="clear" w:color="auto" w:fill="2E74B5" w:themeFill="accent1" w:themeFillShade="BF"/>
            <w:vAlign w:val="bottom"/>
            <w:hideMark/>
          </w:tcPr>
          <w:p w14:paraId="7B58034C" w14:textId="77777777" w:rsidR="00703182" w:rsidRPr="007653CA" w:rsidRDefault="00703182" w:rsidP="007653CA">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2018</w:t>
            </w:r>
          </w:p>
        </w:tc>
        <w:tc>
          <w:tcPr>
            <w:tcW w:w="1116" w:type="dxa"/>
            <w:shd w:val="clear" w:color="auto" w:fill="2E74B5" w:themeFill="accent1" w:themeFillShade="BF"/>
            <w:vAlign w:val="bottom"/>
            <w:hideMark/>
          </w:tcPr>
          <w:p w14:paraId="7A83641B" w14:textId="77777777" w:rsidR="00703182" w:rsidRPr="007653CA" w:rsidRDefault="00703182" w:rsidP="007653CA">
            <w:pPr>
              <w:spacing w:after="0" w:line="240" w:lineRule="auto"/>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Variance between 2017 and 2018</w:t>
            </w:r>
          </w:p>
        </w:tc>
        <w:tc>
          <w:tcPr>
            <w:tcW w:w="1017" w:type="dxa"/>
            <w:shd w:val="clear" w:color="auto" w:fill="2E74B5" w:themeFill="accent1" w:themeFillShade="BF"/>
            <w:vAlign w:val="bottom"/>
            <w:hideMark/>
          </w:tcPr>
          <w:p w14:paraId="1DA4566C" w14:textId="77777777" w:rsidR="00703182" w:rsidRPr="007653CA" w:rsidRDefault="00703182" w:rsidP="007653CA">
            <w:pPr>
              <w:spacing w:after="0" w:line="240" w:lineRule="auto"/>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Variance over 4 years</w:t>
            </w:r>
          </w:p>
        </w:tc>
        <w:tc>
          <w:tcPr>
            <w:tcW w:w="833" w:type="dxa"/>
            <w:shd w:val="clear" w:color="auto" w:fill="2E74B5" w:themeFill="accent1" w:themeFillShade="BF"/>
            <w:vAlign w:val="bottom"/>
          </w:tcPr>
          <w:p w14:paraId="44943564" w14:textId="77777777" w:rsidR="00703182" w:rsidRPr="007653CA" w:rsidRDefault="00703182" w:rsidP="00C2317D">
            <w:pPr>
              <w:spacing w:after="0" w:line="240" w:lineRule="auto"/>
              <w:jc w:val="center"/>
              <w:rPr>
                <w:rFonts w:ascii="Calibri" w:eastAsia="Times New Roman" w:hAnsi="Calibri" w:cs="Calibri"/>
                <w:b/>
                <w:bCs/>
                <w:color w:val="FFFFFF"/>
                <w:lang w:eastAsia="en-NZ"/>
              </w:rPr>
            </w:pPr>
            <w:r>
              <w:rPr>
                <w:rFonts w:ascii="Calibri" w:eastAsia="Times New Roman" w:hAnsi="Calibri" w:cs="Calibri"/>
                <w:b/>
                <w:bCs/>
                <w:color w:val="FFFFFF"/>
                <w:lang w:eastAsia="en-NZ"/>
              </w:rPr>
              <w:t>EFTS 2018</w:t>
            </w:r>
          </w:p>
        </w:tc>
      </w:tr>
      <w:tr w:rsidR="00703182" w:rsidRPr="007653CA" w14:paraId="188A19FB" w14:textId="77777777" w:rsidTr="00390586">
        <w:trPr>
          <w:trHeight w:val="300"/>
        </w:trPr>
        <w:tc>
          <w:tcPr>
            <w:tcW w:w="2779" w:type="dxa"/>
            <w:shd w:val="clear" w:color="DDEBF7" w:fill="DDEBF7"/>
            <w:noWrap/>
            <w:vAlign w:val="bottom"/>
            <w:hideMark/>
          </w:tcPr>
          <w:p w14:paraId="63FCC398" w14:textId="77777777" w:rsidR="00703182" w:rsidRPr="007653CA" w:rsidRDefault="00703182" w:rsidP="00703182">
            <w:pPr>
              <w:spacing w:after="0" w:line="240" w:lineRule="auto"/>
              <w:rPr>
                <w:rFonts w:ascii="Calibri" w:eastAsia="Times New Roman" w:hAnsi="Calibri" w:cs="Calibri"/>
                <w:color w:val="000000"/>
                <w:lang w:eastAsia="en-NZ"/>
              </w:rPr>
            </w:pPr>
            <w:r w:rsidRPr="007653CA">
              <w:rPr>
                <w:rFonts w:ascii="Calibri" w:eastAsia="Times New Roman" w:hAnsi="Calibri" w:cs="Calibri"/>
                <w:color w:val="000000"/>
                <w:lang w:eastAsia="en-NZ"/>
              </w:rPr>
              <w:t>Creative Industries</w:t>
            </w:r>
          </w:p>
        </w:tc>
        <w:tc>
          <w:tcPr>
            <w:tcW w:w="838" w:type="dxa"/>
            <w:shd w:val="clear" w:color="DDEBF7" w:fill="DDEBF7"/>
            <w:noWrap/>
            <w:vAlign w:val="bottom"/>
            <w:hideMark/>
          </w:tcPr>
          <w:p w14:paraId="72E8871E"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91.9%</w:t>
            </w:r>
          </w:p>
        </w:tc>
        <w:tc>
          <w:tcPr>
            <w:tcW w:w="837" w:type="dxa"/>
            <w:shd w:val="clear" w:color="DDEBF7" w:fill="DDEBF7"/>
            <w:noWrap/>
            <w:vAlign w:val="bottom"/>
            <w:hideMark/>
          </w:tcPr>
          <w:p w14:paraId="5D946F20"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91.5%</w:t>
            </w:r>
          </w:p>
        </w:tc>
        <w:tc>
          <w:tcPr>
            <w:tcW w:w="838" w:type="dxa"/>
            <w:shd w:val="clear" w:color="DDEBF7" w:fill="DDEBF7"/>
            <w:noWrap/>
            <w:vAlign w:val="bottom"/>
            <w:hideMark/>
          </w:tcPr>
          <w:p w14:paraId="227807C0"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91.0%</w:t>
            </w:r>
          </w:p>
        </w:tc>
        <w:tc>
          <w:tcPr>
            <w:tcW w:w="977" w:type="dxa"/>
            <w:shd w:val="clear" w:color="DDEBF7" w:fill="DDEBF7"/>
            <w:noWrap/>
            <w:vAlign w:val="bottom"/>
            <w:hideMark/>
          </w:tcPr>
          <w:p w14:paraId="71CE2484"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92.2%</w:t>
            </w:r>
          </w:p>
        </w:tc>
        <w:tc>
          <w:tcPr>
            <w:tcW w:w="1116" w:type="dxa"/>
            <w:shd w:val="clear" w:color="DDEBF7" w:fill="DDEBF7"/>
            <w:noWrap/>
            <w:vAlign w:val="bottom"/>
            <w:hideMark/>
          </w:tcPr>
          <w:p w14:paraId="0C5BDF02"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1.2%</w:t>
            </w:r>
          </w:p>
        </w:tc>
        <w:tc>
          <w:tcPr>
            <w:tcW w:w="1017" w:type="dxa"/>
            <w:shd w:val="clear" w:color="DDEBF7" w:fill="DDEBF7"/>
            <w:noWrap/>
            <w:vAlign w:val="bottom"/>
            <w:hideMark/>
          </w:tcPr>
          <w:p w14:paraId="3B86F75D"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0.3%</w:t>
            </w:r>
          </w:p>
        </w:tc>
        <w:tc>
          <w:tcPr>
            <w:tcW w:w="833" w:type="dxa"/>
            <w:shd w:val="clear" w:color="DDEBF7" w:fill="DDEBF7"/>
            <w:vAlign w:val="bottom"/>
          </w:tcPr>
          <w:p w14:paraId="43CC87FF" w14:textId="77777777" w:rsidR="00703182" w:rsidRPr="00703182" w:rsidRDefault="00C2317D" w:rsidP="00703182">
            <w:pPr>
              <w:spacing w:after="0" w:line="240" w:lineRule="auto"/>
              <w:jc w:val="right"/>
              <w:rPr>
                <w:rFonts w:ascii="Calibri" w:eastAsia="Times New Roman" w:hAnsi="Calibri" w:cs="Calibri"/>
                <w:color w:val="000000"/>
                <w:lang w:eastAsia="en-NZ"/>
              </w:rPr>
            </w:pPr>
            <w:r w:rsidRPr="00C2317D">
              <w:rPr>
                <w:rFonts w:ascii="Calibri" w:eastAsia="Times New Roman" w:hAnsi="Calibri" w:cs="Calibri"/>
                <w:color w:val="000000"/>
                <w:lang w:eastAsia="en-NZ"/>
              </w:rPr>
              <w:t>397.4</w:t>
            </w:r>
          </w:p>
        </w:tc>
      </w:tr>
      <w:tr w:rsidR="00703182" w:rsidRPr="007653CA" w14:paraId="52981CE8" w14:textId="77777777" w:rsidTr="00390586">
        <w:trPr>
          <w:trHeight w:val="300"/>
        </w:trPr>
        <w:tc>
          <w:tcPr>
            <w:tcW w:w="2779" w:type="dxa"/>
            <w:shd w:val="clear" w:color="auto" w:fill="auto"/>
            <w:noWrap/>
            <w:vAlign w:val="bottom"/>
            <w:hideMark/>
          </w:tcPr>
          <w:p w14:paraId="05136B95" w14:textId="77777777" w:rsidR="00703182" w:rsidRPr="007653CA" w:rsidRDefault="00703182" w:rsidP="00703182">
            <w:pPr>
              <w:spacing w:after="0" w:line="240" w:lineRule="auto"/>
              <w:rPr>
                <w:rFonts w:ascii="Calibri" w:eastAsia="Times New Roman" w:hAnsi="Calibri" w:cs="Calibri"/>
                <w:color w:val="000000"/>
                <w:lang w:eastAsia="en-NZ"/>
              </w:rPr>
            </w:pPr>
            <w:r w:rsidRPr="007653CA">
              <w:rPr>
                <w:rFonts w:ascii="Calibri" w:eastAsia="Times New Roman" w:hAnsi="Calibri" w:cs="Calibri"/>
                <w:color w:val="000000"/>
                <w:lang w:eastAsia="en-NZ"/>
              </w:rPr>
              <w:t>Computing &amp; Information Technology</w:t>
            </w:r>
          </w:p>
        </w:tc>
        <w:tc>
          <w:tcPr>
            <w:tcW w:w="838" w:type="dxa"/>
            <w:shd w:val="clear" w:color="auto" w:fill="auto"/>
            <w:noWrap/>
            <w:vAlign w:val="bottom"/>
            <w:hideMark/>
          </w:tcPr>
          <w:p w14:paraId="5512EBD9"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85.6%</w:t>
            </w:r>
          </w:p>
        </w:tc>
        <w:tc>
          <w:tcPr>
            <w:tcW w:w="837" w:type="dxa"/>
            <w:shd w:val="clear" w:color="auto" w:fill="auto"/>
            <w:noWrap/>
            <w:vAlign w:val="bottom"/>
            <w:hideMark/>
          </w:tcPr>
          <w:p w14:paraId="51EED0ED"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84.8%</w:t>
            </w:r>
          </w:p>
        </w:tc>
        <w:tc>
          <w:tcPr>
            <w:tcW w:w="838" w:type="dxa"/>
            <w:shd w:val="clear" w:color="auto" w:fill="auto"/>
            <w:noWrap/>
            <w:vAlign w:val="bottom"/>
            <w:hideMark/>
          </w:tcPr>
          <w:p w14:paraId="51D1FFEB"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87.6%</w:t>
            </w:r>
          </w:p>
        </w:tc>
        <w:tc>
          <w:tcPr>
            <w:tcW w:w="977" w:type="dxa"/>
            <w:shd w:val="clear" w:color="auto" w:fill="auto"/>
            <w:noWrap/>
            <w:vAlign w:val="bottom"/>
            <w:hideMark/>
          </w:tcPr>
          <w:p w14:paraId="0053C2D3"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87.4%</w:t>
            </w:r>
          </w:p>
        </w:tc>
        <w:tc>
          <w:tcPr>
            <w:tcW w:w="1116" w:type="dxa"/>
            <w:shd w:val="clear" w:color="auto" w:fill="auto"/>
            <w:noWrap/>
            <w:vAlign w:val="bottom"/>
            <w:hideMark/>
          </w:tcPr>
          <w:p w14:paraId="2865D412"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-0.2%</w:t>
            </w:r>
          </w:p>
        </w:tc>
        <w:tc>
          <w:tcPr>
            <w:tcW w:w="1017" w:type="dxa"/>
            <w:shd w:val="clear" w:color="auto" w:fill="auto"/>
            <w:noWrap/>
            <w:vAlign w:val="bottom"/>
            <w:hideMark/>
          </w:tcPr>
          <w:p w14:paraId="658591F3"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1.8%</w:t>
            </w:r>
          </w:p>
        </w:tc>
        <w:tc>
          <w:tcPr>
            <w:tcW w:w="833" w:type="dxa"/>
            <w:vAlign w:val="bottom"/>
          </w:tcPr>
          <w:p w14:paraId="503D1694" w14:textId="77777777" w:rsidR="00703182" w:rsidRPr="00703182" w:rsidRDefault="00C2317D" w:rsidP="00703182">
            <w:pPr>
              <w:spacing w:after="0" w:line="240" w:lineRule="auto"/>
              <w:jc w:val="right"/>
              <w:rPr>
                <w:rFonts w:ascii="Calibri" w:eastAsia="Times New Roman" w:hAnsi="Calibri" w:cs="Calibri"/>
                <w:color w:val="000000"/>
                <w:lang w:eastAsia="en-NZ"/>
              </w:rPr>
            </w:pPr>
            <w:r w:rsidRPr="00C2317D">
              <w:rPr>
                <w:rFonts w:ascii="Calibri" w:eastAsia="Times New Roman" w:hAnsi="Calibri" w:cs="Calibri"/>
                <w:color w:val="000000"/>
                <w:lang w:eastAsia="en-NZ"/>
              </w:rPr>
              <w:t>562.4</w:t>
            </w:r>
          </w:p>
        </w:tc>
      </w:tr>
      <w:tr w:rsidR="00703182" w:rsidRPr="007653CA" w14:paraId="4A9B8136" w14:textId="77777777" w:rsidTr="00390586">
        <w:trPr>
          <w:trHeight w:val="300"/>
        </w:trPr>
        <w:tc>
          <w:tcPr>
            <w:tcW w:w="2779" w:type="dxa"/>
            <w:shd w:val="clear" w:color="DDEBF7" w:fill="DDEBF7"/>
            <w:noWrap/>
            <w:vAlign w:val="bottom"/>
            <w:hideMark/>
          </w:tcPr>
          <w:p w14:paraId="3099D4C3" w14:textId="77777777" w:rsidR="00703182" w:rsidRPr="007653CA" w:rsidRDefault="00703182" w:rsidP="00703182">
            <w:pPr>
              <w:spacing w:after="0" w:line="240" w:lineRule="auto"/>
              <w:rPr>
                <w:rFonts w:ascii="Calibri" w:eastAsia="Times New Roman" w:hAnsi="Calibri" w:cs="Calibri"/>
                <w:color w:val="000000"/>
                <w:lang w:eastAsia="en-NZ"/>
              </w:rPr>
            </w:pPr>
            <w:r w:rsidRPr="007653CA">
              <w:rPr>
                <w:rFonts w:ascii="Calibri" w:eastAsia="Times New Roman" w:hAnsi="Calibri" w:cs="Calibri"/>
                <w:color w:val="000000"/>
                <w:lang w:eastAsia="en-NZ"/>
              </w:rPr>
              <w:t>Building Construction</w:t>
            </w:r>
          </w:p>
        </w:tc>
        <w:tc>
          <w:tcPr>
            <w:tcW w:w="838" w:type="dxa"/>
            <w:shd w:val="clear" w:color="DDEBF7" w:fill="DDEBF7"/>
            <w:noWrap/>
            <w:vAlign w:val="bottom"/>
            <w:hideMark/>
          </w:tcPr>
          <w:p w14:paraId="18840692"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79.5%</w:t>
            </w:r>
          </w:p>
        </w:tc>
        <w:tc>
          <w:tcPr>
            <w:tcW w:w="837" w:type="dxa"/>
            <w:shd w:val="clear" w:color="DDEBF7" w:fill="DDEBF7"/>
            <w:noWrap/>
            <w:vAlign w:val="bottom"/>
            <w:hideMark/>
          </w:tcPr>
          <w:p w14:paraId="1BFCDEB1"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82.9%</w:t>
            </w:r>
          </w:p>
        </w:tc>
        <w:tc>
          <w:tcPr>
            <w:tcW w:w="838" w:type="dxa"/>
            <w:shd w:val="clear" w:color="DDEBF7" w:fill="DDEBF7"/>
            <w:noWrap/>
            <w:vAlign w:val="bottom"/>
            <w:hideMark/>
          </w:tcPr>
          <w:p w14:paraId="4EF7E2FF"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84.9%</w:t>
            </w:r>
          </w:p>
        </w:tc>
        <w:tc>
          <w:tcPr>
            <w:tcW w:w="977" w:type="dxa"/>
            <w:shd w:val="clear" w:color="DDEBF7" w:fill="DDEBF7"/>
            <w:noWrap/>
            <w:vAlign w:val="bottom"/>
            <w:hideMark/>
          </w:tcPr>
          <w:p w14:paraId="16CC4168"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87.1%</w:t>
            </w:r>
          </w:p>
        </w:tc>
        <w:tc>
          <w:tcPr>
            <w:tcW w:w="1116" w:type="dxa"/>
            <w:shd w:val="clear" w:color="DDEBF7" w:fill="DDEBF7"/>
            <w:noWrap/>
            <w:vAlign w:val="bottom"/>
            <w:hideMark/>
          </w:tcPr>
          <w:p w14:paraId="34F5F46B"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2.2%</w:t>
            </w:r>
          </w:p>
        </w:tc>
        <w:tc>
          <w:tcPr>
            <w:tcW w:w="1017" w:type="dxa"/>
            <w:shd w:val="clear" w:color="auto" w:fill="D9E2F3" w:themeFill="accent5" w:themeFillTint="33"/>
            <w:noWrap/>
            <w:vAlign w:val="bottom"/>
            <w:hideMark/>
          </w:tcPr>
          <w:p w14:paraId="5AAE8B34" w14:textId="77777777" w:rsidR="00703182" w:rsidRPr="007653CA" w:rsidRDefault="00703182" w:rsidP="00703182">
            <w:pPr>
              <w:spacing w:after="0" w:line="240" w:lineRule="auto"/>
              <w:jc w:val="right"/>
              <w:rPr>
                <w:rFonts w:ascii="Calibri" w:eastAsia="Times New Roman" w:hAnsi="Calibri" w:cs="Calibri"/>
                <w:color w:val="006100"/>
                <w:lang w:eastAsia="en-NZ"/>
              </w:rPr>
            </w:pPr>
            <w:r w:rsidRPr="007653CA">
              <w:rPr>
                <w:rFonts w:ascii="Calibri" w:eastAsia="Times New Roman" w:hAnsi="Calibri" w:cs="Calibri"/>
                <w:lang w:eastAsia="en-NZ"/>
              </w:rPr>
              <w:t>7.6%</w:t>
            </w:r>
          </w:p>
        </w:tc>
        <w:tc>
          <w:tcPr>
            <w:tcW w:w="833" w:type="dxa"/>
            <w:shd w:val="clear" w:color="auto" w:fill="D9E2F3" w:themeFill="accent5" w:themeFillTint="33"/>
            <w:vAlign w:val="bottom"/>
          </w:tcPr>
          <w:p w14:paraId="751F3E07" w14:textId="77777777" w:rsidR="00703182" w:rsidRPr="00703182" w:rsidRDefault="00C2317D" w:rsidP="00703182">
            <w:pPr>
              <w:spacing w:after="0" w:line="240" w:lineRule="auto"/>
              <w:jc w:val="right"/>
              <w:rPr>
                <w:rFonts w:ascii="Calibri" w:eastAsia="Times New Roman" w:hAnsi="Calibri" w:cs="Calibri"/>
                <w:color w:val="000000"/>
                <w:lang w:eastAsia="en-NZ"/>
              </w:rPr>
            </w:pPr>
            <w:r w:rsidRPr="00C2317D">
              <w:rPr>
                <w:rFonts w:ascii="Calibri" w:eastAsia="Times New Roman" w:hAnsi="Calibri" w:cs="Calibri"/>
                <w:color w:val="000000"/>
                <w:lang w:eastAsia="en-NZ"/>
              </w:rPr>
              <w:t>948.4</w:t>
            </w:r>
          </w:p>
        </w:tc>
      </w:tr>
      <w:tr w:rsidR="00703182" w:rsidRPr="007653CA" w14:paraId="311F627E" w14:textId="77777777" w:rsidTr="00390586">
        <w:trPr>
          <w:trHeight w:val="300"/>
        </w:trPr>
        <w:tc>
          <w:tcPr>
            <w:tcW w:w="2779" w:type="dxa"/>
            <w:shd w:val="clear" w:color="auto" w:fill="auto"/>
            <w:noWrap/>
            <w:vAlign w:val="bottom"/>
            <w:hideMark/>
          </w:tcPr>
          <w:p w14:paraId="4AB8D965" w14:textId="77777777" w:rsidR="00703182" w:rsidRPr="007653CA" w:rsidRDefault="00703182" w:rsidP="00703182">
            <w:pPr>
              <w:spacing w:after="0" w:line="240" w:lineRule="auto"/>
              <w:rPr>
                <w:rFonts w:ascii="Calibri" w:eastAsia="Times New Roman" w:hAnsi="Calibri" w:cs="Calibri"/>
                <w:color w:val="000000"/>
                <w:lang w:eastAsia="en-NZ"/>
              </w:rPr>
            </w:pPr>
            <w:r w:rsidRPr="007653CA">
              <w:rPr>
                <w:rFonts w:ascii="Calibri" w:eastAsia="Times New Roman" w:hAnsi="Calibri" w:cs="Calibri"/>
                <w:color w:val="000000"/>
                <w:lang w:eastAsia="en-NZ"/>
              </w:rPr>
              <w:t>Healthcare &amp; Social Practice</w:t>
            </w:r>
          </w:p>
        </w:tc>
        <w:tc>
          <w:tcPr>
            <w:tcW w:w="838" w:type="dxa"/>
            <w:shd w:val="clear" w:color="auto" w:fill="auto"/>
            <w:noWrap/>
            <w:vAlign w:val="bottom"/>
            <w:hideMark/>
          </w:tcPr>
          <w:p w14:paraId="3078DD4C"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87.2%</w:t>
            </w:r>
          </w:p>
        </w:tc>
        <w:tc>
          <w:tcPr>
            <w:tcW w:w="837" w:type="dxa"/>
            <w:shd w:val="clear" w:color="auto" w:fill="auto"/>
            <w:noWrap/>
            <w:vAlign w:val="bottom"/>
            <w:hideMark/>
          </w:tcPr>
          <w:p w14:paraId="27CE6BC7"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86.5%</w:t>
            </w:r>
          </w:p>
        </w:tc>
        <w:tc>
          <w:tcPr>
            <w:tcW w:w="838" w:type="dxa"/>
            <w:shd w:val="clear" w:color="auto" w:fill="auto"/>
            <w:noWrap/>
            <w:vAlign w:val="bottom"/>
            <w:hideMark/>
          </w:tcPr>
          <w:p w14:paraId="3509697D"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85.6%</w:t>
            </w:r>
          </w:p>
        </w:tc>
        <w:tc>
          <w:tcPr>
            <w:tcW w:w="977" w:type="dxa"/>
            <w:shd w:val="clear" w:color="auto" w:fill="auto"/>
            <w:noWrap/>
            <w:vAlign w:val="bottom"/>
            <w:hideMark/>
          </w:tcPr>
          <w:p w14:paraId="4520C317"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86.8%</w:t>
            </w:r>
          </w:p>
        </w:tc>
        <w:tc>
          <w:tcPr>
            <w:tcW w:w="1116" w:type="dxa"/>
            <w:shd w:val="clear" w:color="auto" w:fill="auto"/>
            <w:noWrap/>
            <w:vAlign w:val="bottom"/>
            <w:hideMark/>
          </w:tcPr>
          <w:p w14:paraId="14E92BAA"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1.2%</w:t>
            </w:r>
          </w:p>
        </w:tc>
        <w:tc>
          <w:tcPr>
            <w:tcW w:w="1017" w:type="dxa"/>
            <w:shd w:val="clear" w:color="auto" w:fill="auto"/>
            <w:noWrap/>
            <w:vAlign w:val="bottom"/>
            <w:hideMark/>
          </w:tcPr>
          <w:p w14:paraId="503CD839"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-0.4%</w:t>
            </w:r>
          </w:p>
        </w:tc>
        <w:tc>
          <w:tcPr>
            <w:tcW w:w="833" w:type="dxa"/>
            <w:vAlign w:val="bottom"/>
          </w:tcPr>
          <w:p w14:paraId="493FD6C7" w14:textId="77777777" w:rsidR="00703182" w:rsidRPr="00703182" w:rsidRDefault="00C2317D" w:rsidP="00703182">
            <w:pPr>
              <w:spacing w:after="0" w:line="240" w:lineRule="auto"/>
              <w:jc w:val="right"/>
              <w:rPr>
                <w:rFonts w:ascii="Calibri" w:eastAsia="Times New Roman" w:hAnsi="Calibri" w:cs="Calibri"/>
                <w:color w:val="000000"/>
                <w:lang w:eastAsia="en-NZ"/>
              </w:rPr>
            </w:pPr>
            <w:r w:rsidRPr="00C2317D">
              <w:rPr>
                <w:rFonts w:ascii="Calibri" w:eastAsia="Times New Roman" w:hAnsi="Calibri" w:cs="Calibri"/>
                <w:color w:val="000000"/>
                <w:lang w:eastAsia="en-NZ"/>
              </w:rPr>
              <w:t>590</w:t>
            </w:r>
          </w:p>
        </w:tc>
      </w:tr>
      <w:tr w:rsidR="00703182" w:rsidRPr="007653CA" w14:paraId="35BE2511" w14:textId="77777777" w:rsidTr="00390586">
        <w:trPr>
          <w:trHeight w:val="300"/>
        </w:trPr>
        <w:tc>
          <w:tcPr>
            <w:tcW w:w="2779" w:type="dxa"/>
            <w:shd w:val="clear" w:color="DDEBF7" w:fill="DDEBF7"/>
            <w:noWrap/>
            <w:vAlign w:val="bottom"/>
            <w:hideMark/>
          </w:tcPr>
          <w:p w14:paraId="1C123938" w14:textId="77777777" w:rsidR="00703182" w:rsidRPr="007653CA" w:rsidRDefault="00703182" w:rsidP="00703182">
            <w:pPr>
              <w:spacing w:after="0" w:line="240" w:lineRule="auto"/>
              <w:rPr>
                <w:rFonts w:ascii="Calibri" w:eastAsia="Times New Roman" w:hAnsi="Calibri" w:cs="Calibri"/>
                <w:color w:val="000000"/>
                <w:lang w:eastAsia="en-NZ"/>
              </w:rPr>
            </w:pPr>
            <w:r w:rsidRPr="007653CA">
              <w:rPr>
                <w:rFonts w:ascii="Calibri" w:eastAsia="Times New Roman" w:hAnsi="Calibri" w:cs="Calibri"/>
                <w:color w:val="000000"/>
                <w:lang w:eastAsia="en-NZ"/>
              </w:rPr>
              <w:t>Community Studies</w:t>
            </w:r>
          </w:p>
        </w:tc>
        <w:tc>
          <w:tcPr>
            <w:tcW w:w="838" w:type="dxa"/>
            <w:shd w:val="clear" w:color="DDEBF7" w:fill="DDEBF7"/>
            <w:noWrap/>
            <w:vAlign w:val="bottom"/>
            <w:hideMark/>
          </w:tcPr>
          <w:p w14:paraId="0229CABA"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82.5%</w:t>
            </w:r>
          </w:p>
        </w:tc>
        <w:tc>
          <w:tcPr>
            <w:tcW w:w="837" w:type="dxa"/>
            <w:shd w:val="clear" w:color="DDEBF7" w:fill="DDEBF7"/>
            <w:noWrap/>
            <w:vAlign w:val="bottom"/>
            <w:hideMark/>
          </w:tcPr>
          <w:p w14:paraId="1852E996"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83.7%</w:t>
            </w:r>
          </w:p>
        </w:tc>
        <w:tc>
          <w:tcPr>
            <w:tcW w:w="838" w:type="dxa"/>
            <w:shd w:val="clear" w:color="DDEBF7" w:fill="DDEBF7"/>
            <w:noWrap/>
            <w:vAlign w:val="bottom"/>
            <w:hideMark/>
          </w:tcPr>
          <w:p w14:paraId="3FD7D2D2"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85.9%</w:t>
            </w:r>
          </w:p>
        </w:tc>
        <w:tc>
          <w:tcPr>
            <w:tcW w:w="977" w:type="dxa"/>
            <w:shd w:val="clear" w:color="DDEBF7" w:fill="DDEBF7"/>
            <w:noWrap/>
            <w:vAlign w:val="bottom"/>
            <w:hideMark/>
          </w:tcPr>
          <w:p w14:paraId="55BF9D07"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84.9%</w:t>
            </w:r>
          </w:p>
        </w:tc>
        <w:tc>
          <w:tcPr>
            <w:tcW w:w="1116" w:type="dxa"/>
            <w:shd w:val="clear" w:color="DDEBF7" w:fill="DDEBF7"/>
            <w:noWrap/>
            <w:vAlign w:val="bottom"/>
            <w:hideMark/>
          </w:tcPr>
          <w:p w14:paraId="32F7EE1C"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-1.0%</w:t>
            </w:r>
          </w:p>
        </w:tc>
        <w:tc>
          <w:tcPr>
            <w:tcW w:w="1017" w:type="dxa"/>
            <w:shd w:val="clear" w:color="DDEBF7" w:fill="DDEBF7"/>
            <w:noWrap/>
            <w:vAlign w:val="bottom"/>
            <w:hideMark/>
          </w:tcPr>
          <w:p w14:paraId="6C767678"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2.4%</w:t>
            </w:r>
          </w:p>
        </w:tc>
        <w:tc>
          <w:tcPr>
            <w:tcW w:w="833" w:type="dxa"/>
            <w:shd w:val="clear" w:color="DDEBF7" w:fill="DDEBF7"/>
            <w:vAlign w:val="bottom"/>
          </w:tcPr>
          <w:p w14:paraId="17ABD2AE" w14:textId="77777777" w:rsidR="00703182" w:rsidRPr="00703182" w:rsidRDefault="00C2317D" w:rsidP="00703182">
            <w:pPr>
              <w:spacing w:after="0" w:line="240" w:lineRule="auto"/>
              <w:jc w:val="right"/>
              <w:rPr>
                <w:rFonts w:ascii="Calibri" w:eastAsia="Times New Roman" w:hAnsi="Calibri" w:cs="Calibri"/>
                <w:color w:val="000000"/>
                <w:lang w:eastAsia="en-NZ"/>
              </w:rPr>
            </w:pPr>
            <w:r w:rsidRPr="00C2317D">
              <w:rPr>
                <w:rFonts w:ascii="Calibri" w:eastAsia="Times New Roman" w:hAnsi="Calibri" w:cs="Calibri"/>
                <w:color w:val="000000"/>
                <w:lang w:eastAsia="en-NZ"/>
              </w:rPr>
              <w:t>341.3</w:t>
            </w:r>
          </w:p>
        </w:tc>
      </w:tr>
      <w:tr w:rsidR="00703182" w:rsidRPr="007653CA" w14:paraId="5186DC54" w14:textId="77777777" w:rsidTr="00390586">
        <w:trPr>
          <w:trHeight w:val="300"/>
        </w:trPr>
        <w:tc>
          <w:tcPr>
            <w:tcW w:w="2779" w:type="dxa"/>
            <w:shd w:val="clear" w:color="auto" w:fill="auto"/>
            <w:noWrap/>
            <w:vAlign w:val="bottom"/>
            <w:hideMark/>
          </w:tcPr>
          <w:p w14:paraId="5AA0DE6E" w14:textId="77777777" w:rsidR="00703182" w:rsidRPr="007653CA" w:rsidRDefault="00703182" w:rsidP="00703182">
            <w:pPr>
              <w:spacing w:after="0" w:line="240" w:lineRule="auto"/>
              <w:rPr>
                <w:rFonts w:ascii="Calibri" w:eastAsia="Times New Roman" w:hAnsi="Calibri" w:cs="Calibri"/>
                <w:color w:val="000000"/>
                <w:lang w:eastAsia="en-NZ"/>
              </w:rPr>
            </w:pPr>
            <w:r w:rsidRPr="007653CA">
              <w:rPr>
                <w:rFonts w:ascii="Calibri" w:eastAsia="Times New Roman" w:hAnsi="Calibri" w:cs="Calibri"/>
                <w:color w:val="000000"/>
                <w:lang w:eastAsia="en-NZ"/>
              </w:rPr>
              <w:t>Architecture</w:t>
            </w:r>
          </w:p>
        </w:tc>
        <w:tc>
          <w:tcPr>
            <w:tcW w:w="838" w:type="dxa"/>
            <w:shd w:val="clear" w:color="auto" w:fill="auto"/>
            <w:noWrap/>
            <w:vAlign w:val="bottom"/>
            <w:hideMark/>
          </w:tcPr>
          <w:p w14:paraId="68821952"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88.0%</w:t>
            </w:r>
          </w:p>
        </w:tc>
        <w:tc>
          <w:tcPr>
            <w:tcW w:w="837" w:type="dxa"/>
            <w:shd w:val="clear" w:color="auto" w:fill="auto"/>
            <w:noWrap/>
            <w:vAlign w:val="bottom"/>
            <w:hideMark/>
          </w:tcPr>
          <w:p w14:paraId="62124630"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83.5%</w:t>
            </w:r>
          </w:p>
        </w:tc>
        <w:tc>
          <w:tcPr>
            <w:tcW w:w="838" w:type="dxa"/>
            <w:shd w:val="clear" w:color="auto" w:fill="auto"/>
            <w:noWrap/>
            <w:vAlign w:val="bottom"/>
            <w:hideMark/>
          </w:tcPr>
          <w:p w14:paraId="721B92C0"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84.9%</w:t>
            </w:r>
          </w:p>
        </w:tc>
        <w:tc>
          <w:tcPr>
            <w:tcW w:w="977" w:type="dxa"/>
            <w:shd w:val="clear" w:color="auto" w:fill="auto"/>
            <w:noWrap/>
            <w:vAlign w:val="bottom"/>
            <w:hideMark/>
          </w:tcPr>
          <w:p w14:paraId="26D9BE7F"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84.7%</w:t>
            </w:r>
          </w:p>
        </w:tc>
        <w:tc>
          <w:tcPr>
            <w:tcW w:w="1116" w:type="dxa"/>
            <w:shd w:val="clear" w:color="auto" w:fill="auto"/>
            <w:noWrap/>
            <w:vAlign w:val="bottom"/>
            <w:hideMark/>
          </w:tcPr>
          <w:p w14:paraId="0A6DD399"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-0.2%</w:t>
            </w:r>
          </w:p>
        </w:tc>
        <w:tc>
          <w:tcPr>
            <w:tcW w:w="1017" w:type="dxa"/>
            <w:shd w:val="clear" w:color="auto" w:fill="auto"/>
            <w:noWrap/>
            <w:vAlign w:val="bottom"/>
            <w:hideMark/>
          </w:tcPr>
          <w:p w14:paraId="325B56AC"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-3.3%</w:t>
            </w:r>
          </w:p>
        </w:tc>
        <w:tc>
          <w:tcPr>
            <w:tcW w:w="833" w:type="dxa"/>
            <w:vAlign w:val="bottom"/>
          </w:tcPr>
          <w:p w14:paraId="7518BFE6" w14:textId="77777777" w:rsidR="00703182" w:rsidRPr="00703182" w:rsidRDefault="00C2317D" w:rsidP="00703182">
            <w:pPr>
              <w:spacing w:after="0" w:line="240" w:lineRule="auto"/>
              <w:jc w:val="right"/>
              <w:rPr>
                <w:rFonts w:ascii="Calibri" w:eastAsia="Times New Roman" w:hAnsi="Calibri" w:cs="Calibri"/>
                <w:color w:val="000000"/>
                <w:lang w:eastAsia="en-NZ"/>
              </w:rPr>
            </w:pPr>
            <w:r w:rsidRPr="00C2317D">
              <w:rPr>
                <w:rFonts w:ascii="Calibri" w:eastAsia="Times New Roman" w:hAnsi="Calibri" w:cs="Calibri"/>
                <w:color w:val="000000"/>
                <w:lang w:eastAsia="en-NZ"/>
              </w:rPr>
              <w:t>585.1</w:t>
            </w:r>
          </w:p>
        </w:tc>
      </w:tr>
      <w:tr w:rsidR="00703182" w:rsidRPr="007653CA" w14:paraId="78C21587" w14:textId="77777777" w:rsidTr="00390586">
        <w:trPr>
          <w:trHeight w:val="300"/>
        </w:trPr>
        <w:tc>
          <w:tcPr>
            <w:tcW w:w="2779" w:type="dxa"/>
            <w:shd w:val="clear" w:color="DDEBF7" w:fill="DDEBF7"/>
            <w:noWrap/>
            <w:vAlign w:val="bottom"/>
            <w:hideMark/>
          </w:tcPr>
          <w:p w14:paraId="3DBF736F" w14:textId="77777777" w:rsidR="00703182" w:rsidRPr="007653CA" w:rsidRDefault="00703182" w:rsidP="00703182">
            <w:pPr>
              <w:spacing w:after="0" w:line="240" w:lineRule="auto"/>
              <w:rPr>
                <w:rFonts w:ascii="Calibri" w:eastAsia="Times New Roman" w:hAnsi="Calibri" w:cs="Calibri"/>
                <w:color w:val="000000"/>
                <w:lang w:eastAsia="en-NZ"/>
              </w:rPr>
            </w:pPr>
            <w:r w:rsidRPr="007653CA">
              <w:rPr>
                <w:rFonts w:ascii="Calibri" w:eastAsia="Times New Roman" w:hAnsi="Calibri" w:cs="Calibri"/>
                <w:color w:val="000000"/>
                <w:lang w:eastAsia="en-NZ"/>
              </w:rPr>
              <w:t>Applied Business</w:t>
            </w:r>
          </w:p>
        </w:tc>
        <w:tc>
          <w:tcPr>
            <w:tcW w:w="838" w:type="dxa"/>
            <w:shd w:val="clear" w:color="DDEBF7" w:fill="DDEBF7"/>
            <w:noWrap/>
            <w:vAlign w:val="bottom"/>
            <w:hideMark/>
          </w:tcPr>
          <w:p w14:paraId="74BC38E5"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86.1%</w:t>
            </w:r>
          </w:p>
        </w:tc>
        <w:tc>
          <w:tcPr>
            <w:tcW w:w="837" w:type="dxa"/>
            <w:shd w:val="clear" w:color="DDEBF7" w:fill="DDEBF7"/>
            <w:noWrap/>
            <w:vAlign w:val="bottom"/>
            <w:hideMark/>
          </w:tcPr>
          <w:p w14:paraId="73DFA5A5"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86.2%</w:t>
            </w:r>
          </w:p>
        </w:tc>
        <w:tc>
          <w:tcPr>
            <w:tcW w:w="838" w:type="dxa"/>
            <w:shd w:val="clear" w:color="DDEBF7" w:fill="DDEBF7"/>
            <w:noWrap/>
            <w:vAlign w:val="bottom"/>
            <w:hideMark/>
          </w:tcPr>
          <w:p w14:paraId="65E29FE7"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84.6%</w:t>
            </w:r>
          </w:p>
        </w:tc>
        <w:tc>
          <w:tcPr>
            <w:tcW w:w="977" w:type="dxa"/>
            <w:shd w:val="clear" w:color="DDEBF7" w:fill="DDEBF7"/>
            <w:noWrap/>
            <w:vAlign w:val="bottom"/>
            <w:hideMark/>
          </w:tcPr>
          <w:p w14:paraId="421D4F96"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81.9%</w:t>
            </w:r>
          </w:p>
        </w:tc>
        <w:tc>
          <w:tcPr>
            <w:tcW w:w="1116" w:type="dxa"/>
            <w:shd w:val="clear" w:color="DDEBF7" w:fill="DDEBF7"/>
            <w:noWrap/>
            <w:vAlign w:val="bottom"/>
            <w:hideMark/>
          </w:tcPr>
          <w:p w14:paraId="79831231"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-2.7%</w:t>
            </w:r>
          </w:p>
        </w:tc>
        <w:tc>
          <w:tcPr>
            <w:tcW w:w="1017" w:type="dxa"/>
            <w:shd w:val="clear" w:color="DDEBF7" w:fill="DDEBF7"/>
            <w:noWrap/>
            <w:vAlign w:val="bottom"/>
            <w:hideMark/>
          </w:tcPr>
          <w:p w14:paraId="345DE6CD"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-4.2%</w:t>
            </w:r>
          </w:p>
        </w:tc>
        <w:tc>
          <w:tcPr>
            <w:tcW w:w="833" w:type="dxa"/>
            <w:shd w:val="clear" w:color="DDEBF7" w:fill="DDEBF7"/>
            <w:vAlign w:val="bottom"/>
          </w:tcPr>
          <w:p w14:paraId="116C09D6" w14:textId="77777777" w:rsidR="00703182" w:rsidRPr="00703182" w:rsidRDefault="00C2317D" w:rsidP="00703182">
            <w:pPr>
              <w:spacing w:after="0" w:line="240" w:lineRule="auto"/>
              <w:jc w:val="right"/>
              <w:rPr>
                <w:rFonts w:ascii="Calibri" w:eastAsia="Times New Roman" w:hAnsi="Calibri" w:cs="Calibri"/>
                <w:color w:val="000000"/>
                <w:lang w:eastAsia="en-NZ"/>
              </w:rPr>
            </w:pPr>
            <w:r w:rsidRPr="00C2317D">
              <w:rPr>
                <w:rFonts w:ascii="Calibri" w:eastAsia="Times New Roman" w:hAnsi="Calibri" w:cs="Calibri"/>
                <w:color w:val="000000"/>
                <w:lang w:eastAsia="en-NZ"/>
              </w:rPr>
              <w:t>740.3</w:t>
            </w:r>
          </w:p>
        </w:tc>
      </w:tr>
      <w:tr w:rsidR="00703182" w:rsidRPr="007653CA" w14:paraId="5F0BDABA" w14:textId="77777777" w:rsidTr="00390586">
        <w:trPr>
          <w:trHeight w:val="300"/>
        </w:trPr>
        <w:tc>
          <w:tcPr>
            <w:tcW w:w="2779" w:type="dxa"/>
            <w:shd w:val="clear" w:color="auto" w:fill="auto"/>
            <w:noWrap/>
            <w:vAlign w:val="bottom"/>
            <w:hideMark/>
          </w:tcPr>
          <w:p w14:paraId="48C0E47D" w14:textId="77777777" w:rsidR="00703182" w:rsidRPr="007653CA" w:rsidRDefault="00703182" w:rsidP="00703182">
            <w:pPr>
              <w:spacing w:after="0" w:line="240" w:lineRule="auto"/>
              <w:rPr>
                <w:rFonts w:ascii="Calibri" w:eastAsia="Times New Roman" w:hAnsi="Calibri" w:cs="Calibri"/>
                <w:color w:val="000000"/>
                <w:lang w:eastAsia="en-NZ"/>
              </w:rPr>
            </w:pPr>
            <w:r w:rsidRPr="007653CA">
              <w:rPr>
                <w:rFonts w:ascii="Calibri" w:eastAsia="Times New Roman" w:hAnsi="Calibri" w:cs="Calibri"/>
                <w:color w:val="000000"/>
                <w:lang w:eastAsia="en-NZ"/>
              </w:rPr>
              <w:t>Environmental &amp; Animal Sciences</w:t>
            </w:r>
          </w:p>
        </w:tc>
        <w:tc>
          <w:tcPr>
            <w:tcW w:w="838" w:type="dxa"/>
            <w:shd w:val="clear" w:color="auto" w:fill="auto"/>
            <w:noWrap/>
            <w:vAlign w:val="bottom"/>
            <w:hideMark/>
          </w:tcPr>
          <w:p w14:paraId="2B0A6069"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85.7%</w:t>
            </w:r>
          </w:p>
        </w:tc>
        <w:tc>
          <w:tcPr>
            <w:tcW w:w="837" w:type="dxa"/>
            <w:shd w:val="clear" w:color="auto" w:fill="auto"/>
            <w:noWrap/>
            <w:vAlign w:val="bottom"/>
            <w:hideMark/>
          </w:tcPr>
          <w:p w14:paraId="48215D2F"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84.6%</w:t>
            </w:r>
          </w:p>
        </w:tc>
        <w:tc>
          <w:tcPr>
            <w:tcW w:w="838" w:type="dxa"/>
            <w:shd w:val="clear" w:color="auto" w:fill="auto"/>
            <w:noWrap/>
            <w:vAlign w:val="bottom"/>
            <w:hideMark/>
          </w:tcPr>
          <w:p w14:paraId="4300A107"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81.5%</w:t>
            </w:r>
          </w:p>
        </w:tc>
        <w:tc>
          <w:tcPr>
            <w:tcW w:w="977" w:type="dxa"/>
            <w:shd w:val="clear" w:color="auto" w:fill="auto"/>
            <w:noWrap/>
            <w:vAlign w:val="bottom"/>
            <w:hideMark/>
          </w:tcPr>
          <w:p w14:paraId="0A2E51ED"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78.6%</w:t>
            </w:r>
          </w:p>
        </w:tc>
        <w:tc>
          <w:tcPr>
            <w:tcW w:w="1116" w:type="dxa"/>
            <w:shd w:val="clear" w:color="auto" w:fill="auto"/>
            <w:noWrap/>
            <w:vAlign w:val="bottom"/>
            <w:hideMark/>
          </w:tcPr>
          <w:p w14:paraId="2E09B668"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-2.9%</w:t>
            </w:r>
          </w:p>
        </w:tc>
        <w:tc>
          <w:tcPr>
            <w:tcW w:w="1017" w:type="dxa"/>
            <w:shd w:val="clear" w:color="auto" w:fill="auto"/>
            <w:noWrap/>
            <w:vAlign w:val="bottom"/>
            <w:hideMark/>
          </w:tcPr>
          <w:p w14:paraId="45A78E4B"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-7.1%</w:t>
            </w:r>
          </w:p>
        </w:tc>
        <w:tc>
          <w:tcPr>
            <w:tcW w:w="833" w:type="dxa"/>
            <w:vAlign w:val="bottom"/>
          </w:tcPr>
          <w:p w14:paraId="480ABD45" w14:textId="77777777" w:rsidR="00703182" w:rsidRPr="00703182" w:rsidRDefault="00C2317D" w:rsidP="00703182">
            <w:pPr>
              <w:spacing w:after="0" w:line="240" w:lineRule="auto"/>
              <w:jc w:val="right"/>
              <w:rPr>
                <w:rFonts w:ascii="Calibri" w:eastAsia="Times New Roman" w:hAnsi="Calibri" w:cs="Calibri"/>
                <w:color w:val="000000"/>
                <w:lang w:eastAsia="en-NZ"/>
              </w:rPr>
            </w:pPr>
            <w:r w:rsidRPr="00C2317D">
              <w:rPr>
                <w:rFonts w:ascii="Calibri" w:eastAsia="Times New Roman" w:hAnsi="Calibri" w:cs="Calibri"/>
                <w:color w:val="000000"/>
                <w:lang w:eastAsia="en-NZ"/>
              </w:rPr>
              <w:t>374</w:t>
            </w:r>
          </w:p>
        </w:tc>
      </w:tr>
      <w:tr w:rsidR="00703182" w:rsidRPr="007653CA" w14:paraId="1DB6240F" w14:textId="77777777" w:rsidTr="00390586">
        <w:trPr>
          <w:trHeight w:val="300"/>
        </w:trPr>
        <w:tc>
          <w:tcPr>
            <w:tcW w:w="2779" w:type="dxa"/>
            <w:shd w:val="clear" w:color="DDEBF7" w:fill="DDEBF7"/>
            <w:noWrap/>
            <w:vAlign w:val="bottom"/>
            <w:hideMark/>
          </w:tcPr>
          <w:p w14:paraId="64D30987" w14:textId="77777777" w:rsidR="00703182" w:rsidRPr="007653CA" w:rsidRDefault="00703182" w:rsidP="00703182">
            <w:pPr>
              <w:spacing w:after="0" w:line="240" w:lineRule="auto"/>
              <w:rPr>
                <w:rFonts w:ascii="Calibri" w:eastAsia="Times New Roman" w:hAnsi="Calibri" w:cs="Calibri"/>
                <w:color w:val="000000"/>
                <w:lang w:eastAsia="en-NZ"/>
              </w:rPr>
            </w:pPr>
            <w:r w:rsidRPr="007653CA">
              <w:rPr>
                <w:rFonts w:ascii="Calibri" w:eastAsia="Times New Roman" w:hAnsi="Calibri" w:cs="Calibri"/>
                <w:color w:val="000000"/>
                <w:lang w:eastAsia="en-NZ"/>
              </w:rPr>
              <w:t>Engineering &amp; Applied Technology</w:t>
            </w:r>
          </w:p>
        </w:tc>
        <w:tc>
          <w:tcPr>
            <w:tcW w:w="838" w:type="dxa"/>
            <w:shd w:val="clear" w:color="DDEBF7" w:fill="DDEBF7"/>
            <w:noWrap/>
            <w:vAlign w:val="bottom"/>
            <w:hideMark/>
          </w:tcPr>
          <w:p w14:paraId="0F2178D5"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81.7%</w:t>
            </w:r>
          </w:p>
        </w:tc>
        <w:tc>
          <w:tcPr>
            <w:tcW w:w="837" w:type="dxa"/>
            <w:shd w:val="clear" w:color="DDEBF7" w:fill="DDEBF7"/>
            <w:noWrap/>
            <w:vAlign w:val="bottom"/>
            <w:hideMark/>
          </w:tcPr>
          <w:p w14:paraId="12252F5D"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79.9%</w:t>
            </w:r>
          </w:p>
        </w:tc>
        <w:tc>
          <w:tcPr>
            <w:tcW w:w="838" w:type="dxa"/>
            <w:shd w:val="clear" w:color="DDEBF7" w:fill="DDEBF7"/>
            <w:noWrap/>
            <w:vAlign w:val="bottom"/>
            <w:hideMark/>
          </w:tcPr>
          <w:p w14:paraId="3796CE2A"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79.8%</w:t>
            </w:r>
          </w:p>
        </w:tc>
        <w:tc>
          <w:tcPr>
            <w:tcW w:w="977" w:type="dxa"/>
            <w:shd w:val="clear" w:color="000000" w:fill="FFEB9C"/>
            <w:noWrap/>
            <w:vAlign w:val="bottom"/>
            <w:hideMark/>
          </w:tcPr>
          <w:p w14:paraId="2F6FF0C2" w14:textId="77777777" w:rsidR="00703182" w:rsidRPr="007653CA" w:rsidRDefault="00703182" w:rsidP="00703182">
            <w:pPr>
              <w:spacing w:after="0" w:line="240" w:lineRule="auto"/>
              <w:jc w:val="right"/>
              <w:rPr>
                <w:rFonts w:ascii="Calibri" w:eastAsia="Times New Roman" w:hAnsi="Calibri" w:cs="Calibri"/>
                <w:color w:val="9C6500"/>
                <w:lang w:eastAsia="en-NZ"/>
              </w:rPr>
            </w:pPr>
            <w:r w:rsidRPr="007653CA">
              <w:rPr>
                <w:rFonts w:ascii="Calibri" w:eastAsia="Times New Roman" w:hAnsi="Calibri" w:cs="Calibri"/>
                <w:color w:val="9C6500"/>
                <w:lang w:eastAsia="en-NZ"/>
              </w:rPr>
              <w:t>76.6%</w:t>
            </w:r>
          </w:p>
        </w:tc>
        <w:tc>
          <w:tcPr>
            <w:tcW w:w="1116" w:type="dxa"/>
            <w:shd w:val="clear" w:color="DDEBF7" w:fill="DDEBF7"/>
            <w:noWrap/>
            <w:vAlign w:val="bottom"/>
            <w:hideMark/>
          </w:tcPr>
          <w:p w14:paraId="74741199"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-3.2%</w:t>
            </w:r>
          </w:p>
        </w:tc>
        <w:tc>
          <w:tcPr>
            <w:tcW w:w="1017" w:type="dxa"/>
            <w:shd w:val="clear" w:color="DDEBF7" w:fill="DDEBF7"/>
            <w:noWrap/>
            <w:vAlign w:val="bottom"/>
            <w:hideMark/>
          </w:tcPr>
          <w:p w14:paraId="23D41398"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-5.1%</w:t>
            </w:r>
          </w:p>
        </w:tc>
        <w:tc>
          <w:tcPr>
            <w:tcW w:w="833" w:type="dxa"/>
            <w:shd w:val="clear" w:color="DDEBF7" w:fill="DDEBF7"/>
            <w:vAlign w:val="bottom"/>
          </w:tcPr>
          <w:p w14:paraId="1A006F2F" w14:textId="77777777" w:rsidR="00703182" w:rsidRPr="00703182" w:rsidRDefault="00C2317D" w:rsidP="00703182">
            <w:pPr>
              <w:spacing w:after="0" w:line="240" w:lineRule="auto"/>
              <w:jc w:val="right"/>
              <w:rPr>
                <w:rFonts w:ascii="Calibri" w:eastAsia="Times New Roman" w:hAnsi="Calibri" w:cs="Calibri"/>
                <w:color w:val="000000"/>
                <w:lang w:eastAsia="en-NZ"/>
              </w:rPr>
            </w:pPr>
            <w:r w:rsidRPr="00C2317D">
              <w:rPr>
                <w:rFonts w:ascii="Calibri" w:eastAsia="Times New Roman" w:hAnsi="Calibri" w:cs="Calibri"/>
                <w:color w:val="000000"/>
                <w:lang w:eastAsia="en-NZ"/>
              </w:rPr>
              <w:t>718.9</w:t>
            </w:r>
          </w:p>
        </w:tc>
      </w:tr>
      <w:tr w:rsidR="00703182" w:rsidRPr="007653CA" w14:paraId="3351E7F3" w14:textId="77777777" w:rsidTr="00390586">
        <w:trPr>
          <w:trHeight w:val="300"/>
        </w:trPr>
        <w:tc>
          <w:tcPr>
            <w:tcW w:w="2779" w:type="dxa"/>
            <w:shd w:val="clear" w:color="auto" w:fill="auto"/>
            <w:noWrap/>
            <w:vAlign w:val="bottom"/>
            <w:hideMark/>
          </w:tcPr>
          <w:p w14:paraId="6F921FF3" w14:textId="77777777" w:rsidR="00703182" w:rsidRPr="007653CA" w:rsidRDefault="00703182" w:rsidP="00703182">
            <w:pPr>
              <w:spacing w:after="0" w:line="240" w:lineRule="auto"/>
              <w:rPr>
                <w:rFonts w:ascii="Calibri" w:eastAsia="Times New Roman" w:hAnsi="Calibri" w:cs="Calibri"/>
                <w:color w:val="000000"/>
                <w:lang w:eastAsia="en-NZ"/>
              </w:rPr>
            </w:pPr>
            <w:r w:rsidRPr="007653CA">
              <w:rPr>
                <w:rFonts w:ascii="Calibri" w:eastAsia="Times New Roman" w:hAnsi="Calibri" w:cs="Calibri"/>
                <w:color w:val="000000"/>
                <w:lang w:eastAsia="en-NZ"/>
              </w:rPr>
              <w:t>Trades &amp; Services</w:t>
            </w:r>
          </w:p>
        </w:tc>
        <w:tc>
          <w:tcPr>
            <w:tcW w:w="838" w:type="dxa"/>
            <w:shd w:val="clear" w:color="auto" w:fill="auto"/>
            <w:noWrap/>
            <w:vAlign w:val="bottom"/>
            <w:hideMark/>
          </w:tcPr>
          <w:p w14:paraId="53E09893"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81.7%</w:t>
            </w:r>
          </w:p>
        </w:tc>
        <w:tc>
          <w:tcPr>
            <w:tcW w:w="837" w:type="dxa"/>
            <w:shd w:val="clear" w:color="auto" w:fill="auto"/>
            <w:noWrap/>
            <w:vAlign w:val="bottom"/>
            <w:hideMark/>
          </w:tcPr>
          <w:p w14:paraId="6A4A1D6F"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81.7%</w:t>
            </w:r>
          </w:p>
        </w:tc>
        <w:tc>
          <w:tcPr>
            <w:tcW w:w="838" w:type="dxa"/>
            <w:shd w:val="clear" w:color="auto" w:fill="auto"/>
            <w:noWrap/>
            <w:vAlign w:val="bottom"/>
            <w:hideMark/>
          </w:tcPr>
          <w:p w14:paraId="385829F4"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78.9%</w:t>
            </w:r>
          </w:p>
        </w:tc>
        <w:tc>
          <w:tcPr>
            <w:tcW w:w="977" w:type="dxa"/>
            <w:shd w:val="clear" w:color="000000" w:fill="FFEB9C"/>
            <w:noWrap/>
            <w:vAlign w:val="bottom"/>
            <w:hideMark/>
          </w:tcPr>
          <w:p w14:paraId="294E4E6F" w14:textId="77777777" w:rsidR="00703182" w:rsidRPr="007653CA" w:rsidRDefault="00703182" w:rsidP="00703182">
            <w:pPr>
              <w:spacing w:after="0" w:line="240" w:lineRule="auto"/>
              <w:jc w:val="right"/>
              <w:rPr>
                <w:rFonts w:ascii="Calibri" w:eastAsia="Times New Roman" w:hAnsi="Calibri" w:cs="Calibri"/>
                <w:color w:val="9C6500"/>
                <w:lang w:eastAsia="en-NZ"/>
              </w:rPr>
            </w:pPr>
            <w:r w:rsidRPr="007653CA">
              <w:rPr>
                <w:rFonts w:ascii="Calibri" w:eastAsia="Times New Roman" w:hAnsi="Calibri" w:cs="Calibri"/>
                <w:color w:val="9C6500"/>
                <w:lang w:eastAsia="en-NZ"/>
              </w:rPr>
              <w:t>74.6%</w:t>
            </w:r>
          </w:p>
        </w:tc>
        <w:tc>
          <w:tcPr>
            <w:tcW w:w="1116" w:type="dxa"/>
            <w:shd w:val="clear" w:color="auto" w:fill="auto"/>
            <w:noWrap/>
            <w:vAlign w:val="bottom"/>
            <w:hideMark/>
          </w:tcPr>
          <w:p w14:paraId="3C23B52B"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-4.3%</w:t>
            </w:r>
          </w:p>
        </w:tc>
        <w:tc>
          <w:tcPr>
            <w:tcW w:w="1017" w:type="dxa"/>
            <w:shd w:val="clear" w:color="auto" w:fill="auto"/>
            <w:noWrap/>
            <w:vAlign w:val="bottom"/>
            <w:hideMark/>
          </w:tcPr>
          <w:p w14:paraId="40E9F8FB"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-7.1%</w:t>
            </w:r>
          </w:p>
        </w:tc>
        <w:tc>
          <w:tcPr>
            <w:tcW w:w="833" w:type="dxa"/>
            <w:vAlign w:val="bottom"/>
          </w:tcPr>
          <w:p w14:paraId="6B017E29" w14:textId="77777777" w:rsidR="00703182" w:rsidRPr="00F504A2" w:rsidRDefault="00C2317D" w:rsidP="00703182">
            <w:pPr>
              <w:spacing w:after="0" w:line="240" w:lineRule="auto"/>
              <w:jc w:val="right"/>
            </w:pPr>
            <w:r w:rsidRPr="00C2317D">
              <w:t>784</w:t>
            </w:r>
          </w:p>
        </w:tc>
      </w:tr>
      <w:tr w:rsidR="00703182" w:rsidRPr="007653CA" w14:paraId="14D551B7" w14:textId="77777777" w:rsidTr="00390586">
        <w:trPr>
          <w:trHeight w:val="300"/>
        </w:trPr>
        <w:tc>
          <w:tcPr>
            <w:tcW w:w="2779" w:type="dxa"/>
            <w:shd w:val="clear" w:color="DDEBF7" w:fill="DDEBF7"/>
            <w:noWrap/>
            <w:vAlign w:val="bottom"/>
            <w:hideMark/>
          </w:tcPr>
          <w:p w14:paraId="683C3542" w14:textId="77777777" w:rsidR="00703182" w:rsidRPr="007653CA" w:rsidRDefault="00703182" w:rsidP="00703182">
            <w:pPr>
              <w:spacing w:after="0" w:line="240" w:lineRule="auto"/>
              <w:rPr>
                <w:rFonts w:ascii="Calibri" w:eastAsia="Times New Roman" w:hAnsi="Calibri" w:cs="Calibri"/>
                <w:color w:val="000000"/>
                <w:lang w:eastAsia="en-NZ"/>
              </w:rPr>
            </w:pPr>
            <w:r w:rsidRPr="007653CA">
              <w:rPr>
                <w:rFonts w:ascii="Calibri" w:eastAsia="Times New Roman" w:hAnsi="Calibri" w:cs="Calibri"/>
                <w:color w:val="000000"/>
                <w:lang w:eastAsia="en-NZ"/>
              </w:rPr>
              <w:t>Bridgepoint</w:t>
            </w:r>
          </w:p>
        </w:tc>
        <w:tc>
          <w:tcPr>
            <w:tcW w:w="838" w:type="dxa"/>
            <w:shd w:val="clear" w:color="DDEBF7" w:fill="DDEBF7"/>
            <w:noWrap/>
            <w:vAlign w:val="bottom"/>
            <w:hideMark/>
          </w:tcPr>
          <w:p w14:paraId="68D418F7"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70.0%</w:t>
            </w:r>
          </w:p>
        </w:tc>
        <w:tc>
          <w:tcPr>
            <w:tcW w:w="837" w:type="dxa"/>
            <w:shd w:val="clear" w:color="DDEBF7" w:fill="DDEBF7"/>
            <w:noWrap/>
            <w:vAlign w:val="bottom"/>
            <w:hideMark/>
          </w:tcPr>
          <w:p w14:paraId="2BCE9C77"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72.7%</w:t>
            </w:r>
          </w:p>
        </w:tc>
        <w:tc>
          <w:tcPr>
            <w:tcW w:w="838" w:type="dxa"/>
            <w:shd w:val="clear" w:color="DDEBF7" w:fill="DDEBF7"/>
            <w:noWrap/>
            <w:vAlign w:val="bottom"/>
            <w:hideMark/>
          </w:tcPr>
          <w:p w14:paraId="305547D0"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73.6%</w:t>
            </w:r>
          </w:p>
        </w:tc>
        <w:tc>
          <w:tcPr>
            <w:tcW w:w="977" w:type="dxa"/>
            <w:shd w:val="clear" w:color="000000" w:fill="FFC7CE"/>
            <w:noWrap/>
            <w:vAlign w:val="bottom"/>
            <w:hideMark/>
          </w:tcPr>
          <w:p w14:paraId="52B0D472" w14:textId="77777777" w:rsidR="00703182" w:rsidRPr="007653CA" w:rsidRDefault="00703182" w:rsidP="00703182">
            <w:pPr>
              <w:spacing w:after="0" w:line="240" w:lineRule="auto"/>
              <w:jc w:val="right"/>
              <w:rPr>
                <w:rFonts w:ascii="Calibri" w:eastAsia="Times New Roman" w:hAnsi="Calibri" w:cs="Calibri"/>
                <w:color w:val="9C0006"/>
                <w:lang w:eastAsia="en-NZ"/>
              </w:rPr>
            </w:pPr>
            <w:r w:rsidRPr="007653CA">
              <w:rPr>
                <w:rFonts w:ascii="Calibri" w:eastAsia="Times New Roman" w:hAnsi="Calibri" w:cs="Calibri"/>
                <w:color w:val="9C0006"/>
                <w:lang w:eastAsia="en-NZ"/>
              </w:rPr>
              <w:t>67.9%</w:t>
            </w:r>
          </w:p>
        </w:tc>
        <w:tc>
          <w:tcPr>
            <w:tcW w:w="1116" w:type="dxa"/>
            <w:shd w:val="clear" w:color="DDEBF7" w:fill="DDEBF7"/>
            <w:noWrap/>
            <w:vAlign w:val="bottom"/>
            <w:hideMark/>
          </w:tcPr>
          <w:p w14:paraId="64D30A1B"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-5.7%</w:t>
            </w:r>
          </w:p>
        </w:tc>
        <w:tc>
          <w:tcPr>
            <w:tcW w:w="1017" w:type="dxa"/>
            <w:shd w:val="clear" w:color="DDEBF7" w:fill="DDEBF7"/>
            <w:noWrap/>
            <w:vAlign w:val="bottom"/>
            <w:hideMark/>
          </w:tcPr>
          <w:p w14:paraId="0F378ED8" w14:textId="77777777" w:rsidR="00703182" w:rsidRPr="007653CA" w:rsidRDefault="00703182" w:rsidP="00703182">
            <w:pPr>
              <w:spacing w:after="0" w:line="240" w:lineRule="auto"/>
              <w:jc w:val="right"/>
              <w:rPr>
                <w:rFonts w:ascii="Calibri" w:eastAsia="Times New Roman" w:hAnsi="Calibri" w:cs="Calibri"/>
                <w:color w:val="000000"/>
                <w:lang w:eastAsia="en-NZ"/>
              </w:rPr>
            </w:pPr>
            <w:r w:rsidRPr="007653CA">
              <w:rPr>
                <w:rFonts w:ascii="Calibri" w:eastAsia="Times New Roman" w:hAnsi="Calibri" w:cs="Calibri"/>
                <w:color w:val="000000"/>
                <w:lang w:eastAsia="en-NZ"/>
              </w:rPr>
              <w:t>-2.1%</w:t>
            </w:r>
          </w:p>
        </w:tc>
        <w:tc>
          <w:tcPr>
            <w:tcW w:w="833" w:type="dxa"/>
            <w:shd w:val="clear" w:color="DDEBF7" w:fill="DDEBF7"/>
            <w:vAlign w:val="bottom"/>
          </w:tcPr>
          <w:p w14:paraId="616FB08F" w14:textId="77777777" w:rsidR="00703182" w:rsidRPr="00703182" w:rsidRDefault="00C2317D" w:rsidP="00703182">
            <w:pPr>
              <w:spacing w:after="0" w:line="240" w:lineRule="auto"/>
              <w:jc w:val="right"/>
              <w:rPr>
                <w:rFonts w:ascii="Calibri" w:eastAsia="Times New Roman" w:hAnsi="Calibri" w:cs="Calibri"/>
                <w:color w:val="000000"/>
                <w:lang w:eastAsia="en-NZ"/>
              </w:rPr>
            </w:pPr>
            <w:r w:rsidRPr="00C2317D">
              <w:rPr>
                <w:rFonts w:ascii="Calibri" w:eastAsia="Times New Roman" w:hAnsi="Calibri" w:cs="Calibri"/>
                <w:color w:val="000000"/>
                <w:lang w:eastAsia="en-NZ"/>
              </w:rPr>
              <w:t>725.8</w:t>
            </w:r>
          </w:p>
        </w:tc>
      </w:tr>
      <w:tr w:rsidR="00703182" w:rsidRPr="007653CA" w14:paraId="219ADECE" w14:textId="77777777" w:rsidTr="00390586">
        <w:trPr>
          <w:trHeight w:val="300"/>
        </w:trPr>
        <w:tc>
          <w:tcPr>
            <w:tcW w:w="2779" w:type="dxa"/>
            <w:shd w:val="clear" w:color="auto" w:fill="auto"/>
            <w:noWrap/>
            <w:vAlign w:val="bottom"/>
            <w:hideMark/>
          </w:tcPr>
          <w:p w14:paraId="56ACA54F" w14:textId="77777777" w:rsidR="00703182" w:rsidRPr="007653CA" w:rsidRDefault="00367E75" w:rsidP="00703182">
            <w:pPr>
              <w:spacing w:after="0" w:line="240" w:lineRule="auto"/>
              <w:rPr>
                <w:rFonts w:ascii="Calibri" w:eastAsia="Times New Roman" w:hAnsi="Calibri" w:cs="Calibri"/>
                <w:b/>
                <w:bCs/>
                <w:color w:val="000000"/>
                <w:lang w:eastAsia="en-NZ"/>
              </w:rPr>
            </w:pPr>
            <w:r>
              <w:rPr>
                <w:rFonts w:ascii="Calibri" w:eastAsia="Times New Roman" w:hAnsi="Calibri" w:cs="Calibri"/>
                <w:b/>
                <w:bCs/>
                <w:color w:val="000000"/>
                <w:lang w:eastAsia="en-NZ"/>
              </w:rPr>
              <w:t xml:space="preserve">Grand </w:t>
            </w:r>
            <w:r w:rsidR="00703182" w:rsidRPr="007653CA">
              <w:rPr>
                <w:rFonts w:ascii="Calibri" w:eastAsia="Times New Roman" w:hAnsi="Calibri" w:cs="Calibri"/>
                <w:b/>
                <w:bCs/>
                <w:color w:val="000000"/>
                <w:lang w:eastAsia="en-NZ"/>
              </w:rPr>
              <w:t>Total</w:t>
            </w:r>
            <w:r w:rsidR="00F83426">
              <w:rPr>
                <w:rFonts w:ascii="Calibri" w:eastAsia="Times New Roman" w:hAnsi="Calibri" w:cs="Calibri"/>
                <w:b/>
                <w:bCs/>
                <w:color w:val="000000"/>
                <w:lang w:eastAsia="en-NZ"/>
              </w:rPr>
              <w:t>*</w:t>
            </w:r>
          </w:p>
        </w:tc>
        <w:tc>
          <w:tcPr>
            <w:tcW w:w="838" w:type="dxa"/>
            <w:shd w:val="clear" w:color="auto" w:fill="auto"/>
            <w:noWrap/>
            <w:vAlign w:val="bottom"/>
            <w:hideMark/>
          </w:tcPr>
          <w:p w14:paraId="384E9AA5" w14:textId="77777777" w:rsidR="00703182" w:rsidRPr="007653CA" w:rsidRDefault="00703182" w:rsidP="00703182">
            <w:pPr>
              <w:spacing w:after="0" w:line="240" w:lineRule="auto"/>
              <w:jc w:val="right"/>
              <w:rPr>
                <w:rFonts w:ascii="Calibri" w:eastAsia="Times New Roman" w:hAnsi="Calibri" w:cs="Calibri"/>
                <w:b/>
                <w:bCs/>
                <w:color w:val="000000"/>
                <w:lang w:eastAsia="en-NZ"/>
              </w:rPr>
            </w:pPr>
            <w:r w:rsidRPr="007653CA">
              <w:rPr>
                <w:rFonts w:ascii="Calibri" w:eastAsia="Times New Roman" w:hAnsi="Calibri" w:cs="Calibri"/>
                <w:b/>
                <w:bCs/>
                <w:color w:val="000000"/>
                <w:lang w:eastAsia="en-NZ"/>
              </w:rPr>
              <w:t>83.3%</w:t>
            </w:r>
          </w:p>
        </w:tc>
        <w:tc>
          <w:tcPr>
            <w:tcW w:w="837" w:type="dxa"/>
            <w:shd w:val="clear" w:color="auto" w:fill="auto"/>
            <w:noWrap/>
            <w:vAlign w:val="bottom"/>
            <w:hideMark/>
          </w:tcPr>
          <w:p w14:paraId="3A8F88B4" w14:textId="77777777" w:rsidR="00703182" w:rsidRPr="007653CA" w:rsidRDefault="00703182" w:rsidP="00703182">
            <w:pPr>
              <w:spacing w:after="0" w:line="240" w:lineRule="auto"/>
              <w:jc w:val="right"/>
              <w:rPr>
                <w:rFonts w:ascii="Calibri" w:eastAsia="Times New Roman" w:hAnsi="Calibri" w:cs="Calibri"/>
                <w:b/>
                <w:bCs/>
                <w:color w:val="000000"/>
                <w:lang w:eastAsia="en-NZ"/>
              </w:rPr>
            </w:pPr>
            <w:r w:rsidRPr="007653CA">
              <w:rPr>
                <w:rFonts w:ascii="Calibri" w:eastAsia="Times New Roman" w:hAnsi="Calibri" w:cs="Calibri"/>
                <w:b/>
                <w:bCs/>
                <w:color w:val="000000"/>
                <w:lang w:eastAsia="en-NZ"/>
              </w:rPr>
              <w:t>83.3%</w:t>
            </w:r>
          </w:p>
        </w:tc>
        <w:tc>
          <w:tcPr>
            <w:tcW w:w="838" w:type="dxa"/>
            <w:shd w:val="clear" w:color="auto" w:fill="auto"/>
            <w:noWrap/>
            <w:vAlign w:val="bottom"/>
            <w:hideMark/>
          </w:tcPr>
          <w:p w14:paraId="2F7C3649" w14:textId="77777777" w:rsidR="00703182" w:rsidRPr="007653CA" w:rsidRDefault="00703182" w:rsidP="00703182">
            <w:pPr>
              <w:spacing w:after="0" w:line="240" w:lineRule="auto"/>
              <w:jc w:val="right"/>
              <w:rPr>
                <w:rFonts w:ascii="Calibri" w:eastAsia="Times New Roman" w:hAnsi="Calibri" w:cs="Calibri"/>
                <w:b/>
                <w:bCs/>
                <w:color w:val="000000"/>
                <w:lang w:eastAsia="en-NZ"/>
              </w:rPr>
            </w:pPr>
            <w:r w:rsidRPr="007653CA">
              <w:rPr>
                <w:rFonts w:ascii="Calibri" w:eastAsia="Times New Roman" w:hAnsi="Calibri" w:cs="Calibri"/>
                <w:b/>
                <w:bCs/>
                <w:color w:val="000000"/>
                <w:lang w:eastAsia="en-NZ"/>
              </w:rPr>
              <w:t>83.1%</w:t>
            </w:r>
          </w:p>
        </w:tc>
        <w:tc>
          <w:tcPr>
            <w:tcW w:w="977" w:type="dxa"/>
            <w:shd w:val="clear" w:color="auto" w:fill="auto"/>
            <w:noWrap/>
            <w:vAlign w:val="bottom"/>
            <w:hideMark/>
          </w:tcPr>
          <w:p w14:paraId="4B3B60A4" w14:textId="77777777" w:rsidR="00703182" w:rsidRPr="007653CA" w:rsidRDefault="00703182" w:rsidP="00703182">
            <w:pPr>
              <w:spacing w:after="0" w:line="240" w:lineRule="auto"/>
              <w:jc w:val="right"/>
              <w:rPr>
                <w:rFonts w:ascii="Calibri" w:eastAsia="Times New Roman" w:hAnsi="Calibri" w:cs="Calibri"/>
                <w:b/>
                <w:bCs/>
                <w:color w:val="000000"/>
                <w:lang w:eastAsia="en-NZ"/>
              </w:rPr>
            </w:pPr>
            <w:r w:rsidRPr="007653CA">
              <w:rPr>
                <w:rFonts w:ascii="Calibri" w:eastAsia="Times New Roman" w:hAnsi="Calibri" w:cs="Calibri"/>
                <w:b/>
                <w:bCs/>
                <w:color w:val="000000"/>
                <w:lang w:eastAsia="en-NZ"/>
              </w:rPr>
              <w:t>81.3%</w:t>
            </w:r>
          </w:p>
        </w:tc>
        <w:tc>
          <w:tcPr>
            <w:tcW w:w="1116" w:type="dxa"/>
            <w:shd w:val="clear" w:color="auto" w:fill="auto"/>
            <w:noWrap/>
            <w:vAlign w:val="bottom"/>
            <w:hideMark/>
          </w:tcPr>
          <w:p w14:paraId="3FF7506A" w14:textId="77777777" w:rsidR="00703182" w:rsidRPr="007653CA" w:rsidRDefault="00703182" w:rsidP="00703182">
            <w:pPr>
              <w:spacing w:after="0" w:line="240" w:lineRule="auto"/>
              <w:jc w:val="right"/>
              <w:rPr>
                <w:rFonts w:ascii="Calibri" w:eastAsia="Times New Roman" w:hAnsi="Calibri" w:cs="Calibri"/>
                <w:b/>
                <w:bCs/>
                <w:color w:val="000000"/>
                <w:lang w:eastAsia="en-NZ"/>
              </w:rPr>
            </w:pPr>
            <w:r w:rsidRPr="007653CA">
              <w:rPr>
                <w:rFonts w:ascii="Calibri" w:eastAsia="Times New Roman" w:hAnsi="Calibri" w:cs="Calibri"/>
                <w:b/>
                <w:bCs/>
                <w:color w:val="000000"/>
                <w:lang w:eastAsia="en-NZ"/>
              </w:rPr>
              <w:t>-1.8%</w:t>
            </w:r>
          </w:p>
        </w:tc>
        <w:tc>
          <w:tcPr>
            <w:tcW w:w="1017" w:type="dxa"/>
            <w:shd w:val="clear" w:color="auto" w:fill="auto"/>
            <w:noWrap/>
            <w:vAlign w:val="bottom"/>
            <w:hideMark/>
          </w:tcPr>
          <w:p w14:paraId="0DD4CE60" w14:textId="77777777" w:rsidR="00703182" w:rsidRPr="00C2317D" w:rsidRDefault="00703182" w:rsidP="00703182">
            <w:pPr>
              <w:spacing w:after="0" w:line="240" w:lineRule="auto"/>
              <w:jc w:val="right"/>
              <w:rPr>
                <w:rFonts w:ascii="Calibri" w:eastAsia="Times New Roman" w:hAnsi="Calibri" w:cs="Calibri"/>
                <w:b/>
                <w:color w:val="000000"/>
                <w:lang w:eastAsia="en-NZ"/>
              </w:rPr>
            </w:pPr>
            <w:r w:rsidRPr="00C2317D">
              <w:rPr>
                <w:rFonts w:ascii="Calibri" w:eastAsia="Times New Roman" w:hAnsi="Calibri" w:cs="Calibri"/>
                <w:b/>
                <w:color w:val="000000"/>
                <w:lang w:eastAsia="en-NZ"/>
              </w:rPr>
              <w:t>-2.0%</w:t>
            </w:r>
          </w:p>
        </w:tc>
        <w:tc>
          <w:tcPr>
            <w:tcW w:w="833" w:type="dxa"/>
            <w:vAlign w:val="bottom"/>
          </w:tcPr>
          <w:p w14:paraId="37FDE083" w14:textId="77777777" w:rsidR="00703182" w:rsidRPr="00C2317D" w:rsidRDefault="00C2317D" w:rsidP="00703182">
            <w:pPr>
              <w:spacing w:after="0" w:line="240" w:lineRule="auto"/>
              <w:jc w:val="right"/>
              <w:rPr>
                <w:b/>
              </w:rPr>
            </w:pPr>
            <w:r w:rsidRPr="00C2317D">
              <w:rPr>
                <w:b/>
              </w:rPr>
              <w:t>6767.6</w:t>
            </w:r>
          </w:p>
        </w:tc>
      </w:tr>
    </w:tbl>
    <w:p w14:paraId="4D6236D0" w14:textId="77777777" w:rsidR="00367E75" w:rsidRPr="00BD0BC2" w:rsidRDefault="00367E75" w:rsidP="00367E75">
      <w:pPr>
        <w:rPr>
          <w:i/>
          <w:sz w:val="20"/>
          <w:szCs w:val="20"/>
        </w:rPr>
      </w:pPr>
      <w:r w:rsidRPr="00BD0BC2">
        <w:rPr>
          <w:i/>
          <w:sz w:val="20"/>
          <w:szCs w:val="20"/>
        </w:rPr>
        <w:t>*Grand Total excludes data associated with Mindlab, Administrative, Maia and Te Puna Ako as well as data not associated with any school</w:t>
      </w:r>
    </w:p>
    <w:p w14:paraId="4BDDA952" w14:textId="77777777" w:rsidR="00BF1CFB" w:rsidRPr="00BF1CFB" w:rsidRDefault="00BF1CFB">
      <w:pPr>
        <w:rPr>
          <w:b/>
          <w:bCs/>
          <w:i/>
          <w:iCs/>
          <w:sz w:val="24"/>
          <w:szCs w:val="24"/>
        </w:rPr>
      </w:pPr>
      <w:r w:rsidRPr="00BF1CFB">
        <w:rPr>
          <w:b/>
          <w:bCs/>
          <w:i/>
          <w:iCs/>
          <w:sz w:val="24"/>
          <w:szCs w:val="24"/>
        </w:rPr>
        <w:t>Note: All colour coding in the report is based off 2018 investment plan targets</w:t>
      </w:r>
    </w:p>
    <w:p w14:paraId="11B58DE0" w14:textId="77777777" w:rsidR="00BF1CFB" w:rsidRDefault="00BF1CFB" w:rsidP="00BF1CFB">
      <w:pPr>
        <w:jc w:val="center"/>
      </w:pPr>
      <w:r>
        <w:rPr>
          <w:noProof/>
          <w:lang w:eastAsia="en-NZ"/>
        </w:rPr>
        <w:drawing>
          <wp:inline distT="0" distB="0" distL="0" distR="0" wp14:anchorId="5698056E" wp14:editId="2115212F">
            <wp:extent cx="2989512" cy="191389"/>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5670"/>
                    <a:stretch/>
                  </pic:blipFill>
                  <pic:spPr bwMode="auto">
                    <a:xfrm>
                      <a:off x="0" y="0"/>
                      <a:ext cx="2990850" cy="191475"/>
                    </a:xfrm>
                    <a:prstGeom prst="rect">
                      <a:avLst/>
                    </a:prstGeom>
                    <a:ln>
                      <a:noFill/>
                    </a:ln>
                    <a:extLst>
                      <a:ext uri="{53640926-AAD7-44D8-BBD7-CCE9431645EC}">
                        <a14:shadowObscured xmlns:a14="http://schemas.microsoft.com/office/drawing/2010/main"/>
                      </a:ext>
                    </a:extLst>
                  </pic:spPr>
                </pic:pic>
              </a:graphicData>
            </a:graphic>
          </wp:inline>
        </w:drawing>
      </w:r>
    </w:p>
    <w:p w14:paraId="7D10911B" w14:textId="77777777" w:rsidR="000E2480" w:rsidRDefault="000E2480" w:rsidP="000E2480"/>
    <w:p w14:paraId="7F9BA4A0" w14:textId="77777777" w:rsidR="005B1F34" w:rsidRDefault="005B1F34" w:rsidP="00B93457">
      <w:pPr>
        <w:pStyle w:val="Heading2"/>
      </w:pPr>
      <w:r>
        <w:t>1.3 Priority Groups</w:t>
      </w:r>
    </w:p>
    <w:p w14:paraId="11079D04" w14:textId="77777777" w:rsidR="00B93457" w:rsidRPr="00B93457" w:rsidRDefault="005B1F34" w:rsidP="00B93457">
      <w:pPr>
        <w:pStyle w:val="Heading2"/>
        <w:rPr>
          <w:lang w:val="mi-NZ"/>
        </w:rPr>
      </w:pPr>
      <w:r>
        <w:t>1.3.1</w:t>
      </w:r>
      <w:r w:rsidR="00B93457">
        <w:t xml:space="preserve"> M</w:t>
      </w:r>
      <w:r w:rsidR="00B93457">
        <w:rPr>
          <w:lang w:val="mi-NZ"/>
        </w:rPr>
        <w:t>āori</w:t>
      </w:r>
    </w:p>
    <w:p w14:paraId="6C1F64EA" w14:textId="77777777" w:rsidR="0024694B" w:rsidRDefault="00876052">
      <w:r>
        <w:t xml:space="preserve">Although the variance rate of </w:t>
      </w:r>
      <w:r w:rsidR="00085AAF">
        <w:t>-</w:t>
      </w:r>
      <w:r>
        <w:t xml:space="preserve">9.8% achieved by Unitec </w:t>
      </w:r>
      <w:r w:rsidR="004936BB">
        <w:t xml:space="preserve">in </w:t>
      </w:r>
      <w:r>
        <w:t xml:space="preserve">2017 performed </w:t>
      </w:r>
      <w:r w:rsidR="003A699E">
        <w:t xml:space="preserve">slightly </w:t>
      </w:r>
      <w:r>
        <w:t xml:space="preserve">better than the ITP Sector average of </w:t>
      </w:r>
      <w:r w:rsidR="00085AAF">
        <w:t>-</w:t>
      </w:r>
      <w:r>
        <w:t xml:space="preserve">10.7%, it was lower than AUT and the University of Auckland which stayed at a low </w:t>
      </w:r>
      <w:r w:rsidR="00085AAF">
        <w:t>-</w:t>
      </w:r>
      <w:r>
        <w:t xml:space="preserve">3.1% and </w:t>
      </w:r>
      <w:r w:rsidR="00085AAF">
        <w:t>-</w:t>
      </w:r>
      <w:r>
        <w:t>3.6% respectively</w:t>
      </w:r>
      <w:r w:rsidR="003A699E">
        <w:t>.</w:t>
      </w:r>
      <w:r w:rsidR="003A699E" w:rsidRPr="003A699E">
        <w:t xml:space="preserve"> </w:t>
      </w:r>
      <w:r w:rsidR="003A699E">
        <w:t xml:space="preserve">Further, there is an increasing gap between Māori and non-Māori groups since 2014 with the SCC variance going up to </w:t>
      </w:r>
      <w:r w:rsidR="00085AAF">
        <w:t>-</w:t>
      </w:r>
      <w:r w:rsidR="003A699E">
        <w:t>10% in 2018.</w:t>
      </w:r>
    </w:p>
    <w:tbl>
      <w:tblPr>
        <w:tblpPr w:leftFromText="180" w:rightFromText="180" w:vertAnchor="text" w:horzAnchor="page" w:tblpX="5842" w:tblpY="289"/>
        <w:tblW w:w="3690" w:type="dxa"/>
        <w:tblCellMar>
          <w:left w:w="0" w:type="dxa"/>
          <w:right w:w="0" w:type="dxa"/>
        </w:tblCellMar>
        <w:tblLook w:val="0420" w:firstRow="1" w:lastRow="0" w:firstColumn="0" w:lastColumn="0" w:noHBand="0" w:noVBand="1"/>
      </w:tblPr>
      <w:tblGrid>
        <w:gridCol w:w="1308"/>
        <w:gridCol w:w="790"/>
        <w:gridCol w:w="790"/>
        <w:gridCol w:w="1016"/>
      </w:tblGrid>
      <w:tr w:rsidR="00CE40AD" w:rsidRPr="005379B4" w14:paraId="65BA301B" w14:textId="77777777" w:rsidTr="005379B4">
        <w:trPr>
          <w:trHeight w:val="408"/>
        </w:trPr>
        <w:tc>
          <w:tcPr>
            <w:tcW w:w="124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B6F4345" w14:textId="77777777" w:rsidR="00CE40AD" w:rsidRPr="005379B4" w:rsidRDefault="00CE40AD" w:rsidP="005379B4">
            <w:pPr>
              <w:spacing w:after="100" w:afterAutospacing="1"/>
              <w:rPr>
                <w:noProof/>
                <w:sz w:val="20"/>
                <w:szCs w:val="20"/>
                <w:lang w:eastAsia="en-NZ"/>
              </w:rPr>
            </w:pPr>
            <w:r w:rsidRPr="005379B4">
              <w:rPr>
                <w:b/>
                <w:bCs/>
                <w:noProof/>
                <w:sz w:val="20"/>
                <w:szCs w:val="20"/>
                <w:lang w:eastAsia="en-NZ"/>
              </w:rPr>
              <w:lastRenderedPageBreak/>
              <w:t>2017 Benchmarks</w:t>
            </w:r>
          </w:p>
        </w:tc>
        <w:tc>
          <w:tcPr>
            <w:tcW w:w="74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6747506" w14:textId="77777777" w:rsidR="00CE40AD" w:rsidRPr="005379B4" w:rsidRDefault="00CE40AD" w:rsidP="005379B4">
            <w:pPr>
              <w:spacing w:after="100" w:afterAutospacing="1"/>
              <w:rPr>
                <w:noProof/>
                <w:sz w:val="20"/>
                <w:szCs w:val="20"/>
                <w:lang w:eastAsia="en-NZ"/>
              </w:rPr>
            </w:pPr>
            <w:r w:rsidRPr="005379B4">
              <w:rPr>
                <w:b/>
                <w:bCs/>
                <w:noProof/>
                <w:sz w:val="20"/>
                <w:szCs w:val="20"/>
                <w:lang w:eastAsia="en-NZ"/>
              </w:rPr>
              <w:t>Māori</w:t>
            </w:r>
          </w:p>
        </w:tc>
        <w:tc>
          <w:tcPr>
            <w:tcW w:w="74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CBA418A" w14:textId="77777777" w:rsidR="00CE40AD" w:rsidRPr="005379B4" w:rsidRDefault="00CE40AD" w:rsidP="005379B4">
            <w:pPr>
              <w:spacing w:after="100" w:afterAutospacing="1"/>
              <w:rPr>
                <w:noProof/>
                <w:sz w:val="20"/>
                <w:szCs w:val="20"/>
                <w:lang w:eastAsia="en-NZ"/>
              </w:rPr>
            </w:pPr>
            <w:r w:rsidRPr="005379B4">
              <w:rPr>
                <w:b/>
                <w:bCs/>
                <w:noProof/>
                <w:sz w:val="20"/>
                <w:szCs w:val="20"/>
                <w:lang w:eastAsia="en-NZ"/>
              </w:rPr>
              <w:t>Non-Māori</w:t>
            </w:r>
          </w:p>
        </w:tc>
        <w:tc>
          <w:tcPr>
            <w:tcW w:w="96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0714D96" w14:textId="77777777" w:rsidR="00CE40AD" w:rsidRPr="005379B4" w:rsidRDefault="00CE40AD" w:rsidP="005379B4">
            <w:pPr>
              <w:spacing w:after="100" w:afterAutospacing="1"/>
              <w:rPr>
                <w:noProof/>
                <w:sz w:val="20"/>
                <w:szCs w:val="20"/>
                <w:lang w:eastAsia="en-NZ"/>
              </w:rPr>
            </w:pPr>
            <w:r w:rsidRPr="005379B4">
              <w:rPr>
                <w:b/>
                <w:bCs/>
                <w:noProof/>
                <w:sz w:val="20"/>
                <w:szCs w:val="20"/>
                <w:lang w:eastAsia="en-NZ"/>
              </w:rPr>
              <w:t>Variance</w:t>
            </w:r>
          </w:p>
        </w:tc>
      </w:tr>
      <w:tr w:rsidR="00CE40AD" w:rsidRPr="005379B4" w14:paraId="349C0B2F" w14:textId="77777777" w:rsidTr="005379B4">
        <w:trPr>
          <w:trHeight w:val="331"/>
        </w:trPr>
        <w:tc>
          <w:tcPr>
            <w:tcW w:w="124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2D479FD"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Unitec</w:t>
            </w:r>
          </w:p>
        </w:tc>
        <w:tc>
          <w:tcPr>
            <w:tcW w:w="74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C58B442"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74.1%</w:t>
            </w:r>
          </w:p>
        </w:tc>
        <w:tc>
          <w:tcPr>
            <w:tcW w:w="74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207F72F"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83.9%</w:t>
            </w:r>
          </w:p>
        </w:tc>
        <w:tc>
          <w:tcPr>
            <w:tcW w:w="96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6A28A2F"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-9.8%</w:t>
            </w:r>
          </w:p>
        </w:tc>
      </w:tr>
      <w:tr w:rsidR="00CE40AD" w:rsidRPr="005379B4" w14:paraId="62B3194E" w14:textId="77777777" w:rsidTr="005379B4">
        <w:trPr>
          <w:trHeight w:val="331"/>
        </w:trPr>
        <w:tc>
          <w:tcPr>
            <w:tcW w:w="12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165E94E"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MIT</w:t>
            </w:r>
          </w:p>
        </w:tc>
        <w:tc>
          <w:tcPr>
            <w:tcW w:w="7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DB4505F"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72.6%</w:t>
            </w:r>
          </w:p>
        </w:tc>
        <w:tc>
          <w:tcPr>
            <w:tcW w:w="7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97C09BB"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83.6%</w:t>
            </w:r>
          </w:p>
        </w:tc>
        <w:tc>
          <w:tcPr>
            <w:tcW w:w="9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68E0DC6"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-11.0%</w:t>
            </w:r>
          </w:p>
        </w:tc>
      </w:tr>
      <w:tr w:rsidR="00CE40AD" w:rsidRPr="005379B4" w14:paraId="2691102A" w14:textId="77777777" w:rsidTr="005379B4">
        <w:trPr>
          <w:trHeight w:val="331"/>
        </w:trPr>
        <w:tc>
          <w:tcPr>
            <w:tcW w:w="12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BDE9DE8"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AUT</w:t>
            </w:r>
          </w:p>
        </w:tc>
        <w:tc>
          <w:tcPr>
            <w:tcW w:w="7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65C7537"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82.1%</w:t>
            </w:r>
          </w:p>
        </w:tc>
        <w:tc>
          <w:tcPr>
            <w:tcW w:w="7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409B810"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85.2%</w:t>
            </w:r>
          </w:p>
        </w:tc>
        <w:tc>
          <w:tcPr>
            <w:tcW w:w="9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3E72C09"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-3.1%</w:t>
            </w:r>
          </w:p>
        </w:tc>
      </w:tr>
      <w:tr w:rsidR="00CE40AD" w:rsidRPr="005379B4" w14:paraId="046B3192" w14:textId="77777777" w:rsidTr="005379B4">
        <w:trPr>
          <w:trHeight w:val="331"/>
        </w:trPr>
        <w:tc>
          <w:tcPr>
            <w:tcW w:w="12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625EC42"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University of Auckland</w:t>
            </w:r>
          </w:p>
        </w:tc>
        <w:tc>
          <w:tcPr>
            <w:tcW w:w="7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7E56104"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86.0%</w:t>
            </w:r>
          </w:p>
        </w:tc>
        <w:tc>
          <w:tcPr>
            <w:tcW w:w="7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5C7A367"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89.6%</w:t>
            </w:r>
          </w:p>
        </w:tc>
        <w:tc>
          <w:tcPr>
            <w:tcW w:w="9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66D49529"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-3.6%</w:t>
            </w:r>
          </w:p>
        </w:tc>
      </w:tr>
      <w:tr w:rsidR="00CE40AD" w:rsidRPr="005379B4" w14:paraId="3CB099C9" w14:textId="77777777" w:rsidTr="005379B4">
        <w:trPr>
          <w:trHeight w:val="408"/>
        </w:trPr>
        <w:tc>
          <w:tcPr>
            <w:tcW w:w="12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F596231"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ITP Sector</w:t>
            </w:r>
          </w:p>
        </w:tc>
        <w:tc>
          <w:tcPr>
            <w:tcW w:w="7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318B576"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72.5%</w:t>
            </w:r>
          </w:p>
        </w:tc>
        <w:tc>
          <w:tcPr>
            <w:tcW w:w="7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25F64A88"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83.2%</w:t>
            </w:r>
          </w:p>
        </w:tc>
        <w:tc>
          <w:tcPr>
            <w:tcW w:w="96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4961500" w14:textId="77777777" w:rsidR="00CE40AD" w:rsidRPr="005379B4" w:rsidRDefault="00CE40AD" w:rsidP="005379B4">
            <w:pPr>
              <w:spacing w:after="100" w:afterAutospacing="1"/>
              <w:rPr>
                <w:noProof/>
                <w:sz w:val="20"/>
                <w:szCs w:val="20"/>
                <w:lang w:eastAsia="en-NZ"/>
              </w:rPr>
            </w:pPr>
            <w:r w:rsidRPr="005379B4">
              <w:rPr>
                <w:noProof/>
                <w:sz w:val="20"/>
                <w:szCs w:val="20"/>
                <w:lang w:eastAsia="en-NZ"/>
              </w:rPr>
              <w:t>-10.7%</w:t>
            </w:r>
          </w:p>
        </w:tc>
      </w:tr>
    </w:tbl>
    <w:p w14:paraId="5E08865D" w14:textId="77777777" w:rsidR="00CE79EA" w:rsidRDefault="00CE79EA">
      <w:pPr>
        <w:rPr>
          <w:noProof/>
          <w:lang w:eastAsia="en-NZ"/>
        </w:rPr>
      </w:pPr>
    </w:p>
    <w:p w14:paraId="08178F88" w14:textId="77777777" w:rsidR="00CE40AD" w:rsidRDefault="00BD37F8">
      <w:pPr>
        <w:rPr>
          <w:noProof/>
          <w:lang w:eastAsia="en-NZ"/>
        </w:rPr>
      </w:pPr>
      <w:r w:rsidRPr="00BD37F8">
        <w:rPr>
          <w:noProof/>
          <w:lang w:eastAsia="en-NZ"/>
        </w:rPr>
        <w:drawing>
          <wp:inline distT="0" distB="0" distL="0" distR="0" wp14:anchorId="42A6C1D8" wp14:editId="12675709">
            <wp:extent cx="2192655" cy="2107096"/>
            <wp:effectExtent l="0" t="0" r="17145"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47CAB">
        <w:rPr>
          <w:noProof/>
          <w:lang w:eastAsia="en-NZ"/>
        </w:rPr>
        <w:t xml:space="preserve">           </w:t>
      </w:r>
    </w:p>
    <w:p w14:paraId="0AE9FD8C" w14:textId="77777777" w:rsidR="00876052" w:rsidRDefault="00876052" w:rsidP="00876052"/>
    <w:p w14:paraId="4DB08C9F" w14:textId="77777777" w:rsidR="008411C1" w:rsidRPr="00B93457" w:rsidRDefault="005B1F34" w:rsidP="008411C1">
      <w:pPr>
        <w:pStyle w:val="Heading2"/>
        <w:rPr>
          <w:lang w:val="mi-NZ"/>
        </w:rPr>
      </w:pPr>
      <w:r>
        <w:t>1.3.2</w:t>
      </w:r>
      <w:r w:rsidR="008411C1">
        <w:t xml:space="preserve"> Pacific</w:t>
      </w:r>
    </w:p>
    <w:p w14:paraId="090F8269" w14:textId="0B4FFF5E" w:rsidR="00743DD1" w:rsidRDefault="005B1F34" w:rsidP="005B1F34">
      <w:r>
        <w:t xml:space="preserve">The variance between </w:t>
      </w:r>
      <w:r w:rsidR="004F07A3">
        <w:t>Pacific and non-Pacific</w:t>
      </w:r>
      <w:r>
        <w:t xml:space="preserve"> </w:t>
      </w:r>
      <w:r w:rsidR="004F07A3">
        <w:t xml:space="preserve">students </w:t>
      </w:r>
      <w:r w:rsidR="00DE09C1">
        <w:t xml:space="preserve">decreased </w:t>
      </w:r>
      <w:r w:rsidR="00737FC9">
        <w:t>from</w:t>
      </w:r>
      <w:r w:rsidR="00743DD1">
        <w:t xml:space="preserve"> </w:t>
      </w:r>
      <w:r w:rsidR="00F03503">
        <w:t>-</w:t>
      </w:r>
      <w:r w:rsidR="00743DD1">
        <w:t>16.7% in</w:t>
      </w:r>
      <w:r w:rsidR="004F07A3">
        <w:t xml:space="preserve"> 2008 </w:t>
      </w:r>
      <w:r w:rsidR="00743DD1">
        <w:t xml:space="preserve">to </w:t>
      </w:r>
      <w:r w:rsidR="00F03503">
        <w:t>-</w:t>
      </w:r>
      <w:r w:rsidR="00743DD1">
        <w:t xml:space="preserve">8.5% in </w:t>
      </w:r>
      <w:r w:rsidR="004F07A3">
        <w:t>2014</w:t>
      </w:r>
      <w:r w:rsidR="00654FF1">
        <w:t>. H</w:t>
      </w:r>
      <w:r w:rsidR="00737FC9">
        <w:t>owever</w:t>
      </w:r>
      <w:r w:rsidR="008B4E7A">
        <w:t>,</w:t>
      </w:r>
      <w:r w:rsidR="00737FC9">
        <w:t xml:space="preserve"> that positive trend then reversed and </w:t>
      </w:r>
      <w:r w:rsidR="00743DD1">
        <w:t xml:space="preserve">the </w:t>
      </w:r>
      <w:r w:rsidR="00743DD1">
        <w:t xml:space="preserve">variance </w:t>
      </w:r>
      <w:r w:rsidR="00737FC9">
        <w:t>has been continuously increasing over the last</w:t>
      </w:r>
      <w:r w:rsidR="003B6179">
        <w:t xml:space="preserve"> 5 years</w:t>
      </w:r>
      <w:r w:rsidR="008B4E7A">
        <w:t>. In 2017</w:t>
      </w:r>
      <w:r w:rsidR="004F07A3">
        <w:t xml:space="preserve">, it </w:t>
      </w:r>
      <w:r w:rsidR="00743DD1">
        <w:t>sat</w:t>
      </w:r>
      <w:r w:rsidR="004F07A3">
        <w:t xml:space="preserve"> at </w:t>
      </w:r>
      <w:r w:rsidR="0089195A">
        <w:t>-</w:t>
      </w:r>
      <w:r w:rsidR="004F07A3">
        <w:t>13.6%</w:t>
      </w:r>
      <w:r w:rsidR="00743DD1">
        <w:t>,</w:t>
      </w:r>
      <w:r w:rsidR="004F07A3">
        <w:t xml:space="preserve"> which </w:t>
      </w:r>
      <w:r w:rsidR="00743DD1">
        <w:t>was</w:t>
      </w:r>
      <w:r w:rsidR="004F07A3">
        <w:t xml:space="preserve"> higher than the IT</w:t>
      </w:r>
      <w:r w:rsidR="0039691D">
        <w:t xml:space="preserve">P Sector average of </w:t>
      </w:r>
      <w:r w:rsidR="008B4E7A">
        <w:t>-</w:t>
      </w:r>
      <w:r w:rsidR="0039691D">
        <w:t>8.5% and</w:t>
      </w:r>
      <w:r w:rsidR="004F07A3">
        <w:t xml:space="preserve"> MIT </w:t>
      </w:r>
      <w:r w:rsidR="0039691D">
        <w:t>of</w:t>
      </w:r>
      <w:r w:rsidR="004F07A3">
        <w:t xml:space="preserve"> </w:t>
      </w:r>
      <w:r w:rsidR="008B4E7A">
        <w:t>-</w:t>
      </w:r>
      <w:r w:rsidR="004F07A3">
        <w:t xml:space="preserve">7.2%. </w:t>
      </w:r>
      <w:r w:rsidR="00A51E24">
        <w:t>Although Unitec still outperform</w:t>
      </w:r>
      <w:r w:rsidR="00EB1F48">
        <w:t>ed</w:t>
      </w:r>
      <w:r w:rsidR="00A51E24">
        <w:t xml:space="preserve"> the Universi</w:t>
      </w:r>
      <w:r w:rsidR="008B4E7A">
        <w:t>t</w:t>
      </w:r>
      <w:r w:rsidR="00EB1F48">
        <w:t>y of Auckland and AUT which had</w:t>
      </w:r>
      <w:r w:rsidR="00A51E24">
        <w:t xml:space="preserve"> a high variance of </w:t>
      </w:r>
      <w:r w:rsidR="0089195A">
        <w:t>-</w:t>
      </w:r>
      <w:r w:rsidR="00A51E24">
        <w:t xml:space="preserve">15.0% and </w:t>
      </w:r>
      <w:r w:rsidR="0089195A">
        <w:t>-</w:t>
      </w:r>
      <w:r w:rsidR="00A51E24">
        <w:t>17.5% respectively, the gap between Unitec and other polytechnics is concerning.</w:t>
      </w:r>
    </w:p>
    <w:tbl>
      <w:tblPr>
        <w:tblpPr w:leftFromText="180" w:rightFromText="180" w:vertAnchor="text" w:horzAnchor="page" w:tblpX="5446" w:tblpY="-80"/>
        <w:tblW w:w="0" w:type="auto"/>
        <w:tblCellMar>
          <w:left w:w="0" w:type="dxa"/>
          <w:right w:w="0" w:type="dxa"/>
        </w:tblCellMar>
        <w:tblLook w:val="0420" w:firstRow="1" w:lastRow="0" w:firstColumn="0" w:lastColumn="0" w:noHBand="0" w:noVBand="1"/>
      </w:tblPr>
      <w:tblGrid>
        <w:gridCol w:w="1517"/>
        <w:gridCol w:w="912"/>
        <w:gridCol w:w="763"/>
        <w:gridCol w:w="1334"/>
      </w:tblGrid>
      <w:tr w:rsidR="00654FF1" w:rsidRPr="005B1F34" w14:paraId="241E598F" w14:textId="77777777" w:rsidTr="00654FF1">
        <w:trPr>
          <w:trHeight w:val="20"/>
        </w:trPr>
        <w:tc>
          <w:tcPr>
            <w:tcW w:w="15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330AB709" w14:textId="77777777" w:rsidR="00654FF1" w:rsidRPr="00A47F16" w:rsidRDefault="00654FF1" w:rsidP="00A47F16">
            <w:pPr>
              <w:spacing w:after="0"/>
              <w:rPr>
                <w:sz w:val="20"/>
                <w:szCs w:val="20"/>
              </w:rPr>
            </w:pPr>
            <w:r w:rsidRPr="00A47F16">
              <w:rPr>
                <w:b/>
                <w:bCs/>
                <w:sz w:val="20"/>
                <w:szCs w:val="20"/>
              </w:rPr>
              <w:t>2017 Benchmarks</w:t>
            </w:r>
          </w:p>
        </w:tc>
        <w:tc>
          <w:tcPr>
            <w:tcW w:w="91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3D1C9349" w14:textId="77777777" w:rsidR="00654FF1" w:rsidRPr="00A47F16" w:rsidRDefault="00654FF1" w:rsidP="00A47F16">
            <w:pPr>
              <w:spacing w:after="0"/>
              <w:rPr>
                <w:sz w:val="20"/>
                <w:szCs w:val="20"/>
              </w:rPr>
            </w:pPr>
            <w:r w:rsidRPr="00A47F16">
              <w:rPr>
                <w:b/>
                <w:bCs/>
                <w:sz w:val="20"/>
                <w:szCs w:val="20"/>
              </w:rPr>
              <w:t>Pacific</w:t>
            </w:r>
          </w:p>
        </w:tc>
        <w:tc>
          <w:tcPr>
            <w:tcW w:w="76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0C4B2825" w14:textId="77777777" w:rsidR="00654FF1" w:rsidRPr="00A47F16" w:rsidRDefault="00654FF1" w:rsidP="00A47F16">
            <w:pPr>
              <w:spacing w:after="0"/>
              <w:rPr>
                <w:sz w:val="20"/>
                <w:szCs w:val="20"/>
              </w:rPr>
            </w:pPr>
            <w:r w:rsidRPr="00A47F16">
              <w:rPr>
                <w:b/>
                <w:bCs/>
                <w:sz w:val="20"/>
                <w:szCs w:val="20"/>
              </w:rPr>
              <w:t>Non-Pacific</w:t>
            </w:r>
          </w:p>
        </w:tc>
        <w:tc>
          <w:tcPr>
            <w:tcW w:w="13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3A4FD800" w14:textId="77777777" w:rsidR="00654FF1" w:rsidRPr="00A47F16" w:rsidRDefault="00654FF1" w:rsidP="00A47F16">
            <w:pPr>
              <w:spacing w:after="0"/>
              <w:jc w:val="center"/>
              <w:rPr>
                <w:sz w:val="20"/>
                <w:szCs w:val="20"/>
              </w:rPr>
            </w:pPr>
            <w:r w:rsidRPr="00A47F16">
              <w:rPr>
                <w:b/>
                <w:bCs/>
                <w:sz w:val="20"/>
                <w:szCs w:val="20"/>
              </w:rPr>
              <w:t>variance</w:t>
            </w:r>
          </w:p>
        </w:tc>
      </w:tr>
      <w:tr w:rsidR="00654FF1" w:rsidRPr="005B1F34" w14:paraId="69CE8869" w14:textId="77777777" w:rsidTr="00654FF1">
        <w:trPr>
          <w:trHeight w:val="111"/>
        </w:trPr>
        <w:tc>
          <w:tcPr>
            <w:tcW w:w="15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B5E8975" w14:textId="77777777" w:rsidR="00654FF1" w:rsidRPr="00A47F16" w:rsidRDefault="00654FF1" w:rsidP="00A47F16">
            <w:pPr>
              <w:spacing w:after="0"/>
              <w:rPr>
                <w:sz w:val="20"/>
                <w:szCs w:val="20"/>
              </w:rPr>
            </w:pPr>
            <w:r w:rsidRPr="00A47F16">
              <w:rPr>
                <w:sz w:val="20"/>
                <w:szCs w:val="20"/>
              </w:rPr>
              <w:t>Unitec</w:t>
            </w:r>
          </w:p>
        </w:tc>
        <w:tc>
          <w:tcPr>
            <w:tcW w:w="91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4CC246C" w14:textId="77777777" w:rsidR="00654FF1" w:rsidRPr="00A47F16" w:rsidRDefault="00654FF1" w:rsidP="00A47F16">
            <w:pPr>
              <w:spacing w:after="0"/>
              <w:rPr>
                <w:sz w:val="20"/>
                <w:szCs w:val="20"/>
              </w:rPr>
            </w:pPr>
            <w:r w:rsidRPr="00A47F16">
              <w:rPr>
                <w:sz w:val="20"/>
                <w:szCs w:val="20"/>
              </w:rPr>
              <w:t>71.0%</w:t>
            </w:r>
          </w:p>
        </w:tc>
        <w:tc>
          <w:tcPr>
            <w:tcW w:w="76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69E11B0" w14:textId="77777777" w:rsidR="00654FF1" w:rsidRPr="00A47F16" w:rsidRDefault="00654FF1" w:rsidP="00A47F16">
            <w:pPr>
              <w:spacing w:after="0"/>
              <w:rPr>
                <w:sz w:val="20"/>
                <w:szCs w:val="20"/>
              </w:rPr>
            </w:pPr>
            <w:r w:rsidRPr="00A47F16">
              <w:rPr>
                <w:sz w:val="20"/>
                <w:szCs w:val="20"/>
              </w:rPr>
              <w:t>84.6%</w:t>
            </w:r>
          </w:p>
        </w:tc>
        <w:tc>
          <w:tcPr>
            <w:tcW w:w="13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919473B" w14:textId="77777777" w:rsidR="00654FF1" w:rsidRPr="00A47F16" w:rsidRDefault="00654FF1" w:rsidP="00A47F16">
            <w:pPr>
              <w:spacing w:after="0"/>
              <w:jc w:val="center"/>
              <w:rPr>
                <w:sz w:val="20"/>
                <w:szCs w:val="20"/>
              </w:rPr>
            </w:pPr>
            <w:r w:rsidRPr="00A47F16">
              <w:rPr>
                <w:sz w:val="20"/>
                <w:szCs w:val="20"/>
              </w:rPr>
              <w:t>-13.6%</w:t>
            </w:r>
          </w:p>
        </w:tc>
      </w:tr>
      <w:tr w:rsidR="00654FF1" w:rsidRPr="005B1F34" w14:paraId="0312C0A8" w14:textId="77777777" w:rsidTr="00654FF1">
        <w:trPr>
          <w:trHeight w:val="170"/>
        </w:trPr>
        <w:tc>
          <w:tcPr>
            <w:tcW w:w="15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3540627" w14:textId="77777777" w:rsidR="00654FF1" w:rsidRPr="00A47F16" w:rsidRDefault="00654FF1" w:rsidP="00A47F16">
            <w:pPr>
              <w:spacing w:after="0"/>
              <w:rPr>
                <w:sz w:val="20"/>
                <w:szCs w:val="20"/>
              </w:rPr>
            </w:pPr>
            <w:r w:rsidRPr="00A47F16">
              <w:rPr>
                <w:sz w:val="20"/>
                <w:szCs w:val="20"/>
              </w:rPr>
              <w:t>MIT</w:t>
            </w:r>
          </w:p>
        </w:tc>
        <w:tc>
          <w:tcPr>
            <w:tcW w:w="9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97CD01F" w14:textId="77777777" w:rsidR="00654FF1" w:rsidRPr="00A47F16" w:rsidRDefault="00654FF1" w:rsidP="00A47F16">
            <w:pPr>
              <w:spacing w:after="0"/>
              <w:rPr>
                <w:sz w:val="20"/>
                <w:szCs w:val="20"/>
              </w:rPr>
            </w:pPr>
            <w:r w:rsidRPr="00A47F16">
              <w:rPr>
                <w:sz w:val="20"/>
                <w:szCs w:val="20"/>
              </w:rPr>
              <w:t>77.1%</w:t>
            </w:r>
          </w:p>
        </w:tc>
        <w:tc>
          <w:tcPr>
            <w:tcW w:w="7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44919D2" w14:textId="77777777" w:rsidR="00654FF1" w:rsidRPr="00A47F16" w:rsidRDefault="00654FF1" w:rsidP="00A47F16">
            <w:pPr>
              <w:spacing w:after="0"/>
              <w:rPr>
                <w:sz w:val="20"/>
                <w:szCs w:val="20"/>
              </w:rPr>
            </w:pPr>
            <w:r w:rsidRPr="00A47F16">
              <w:rPr>
                <w:sz w:val="20"/>
                <w:szCs w:val="20"/>
              </w:rPr>
              <w:t>84.3%</w:t>
            </w:r>
          </w:p>
        </w:tc>
        <w:tc>
          <w:tcPr>
            <w:tcW w:w="13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37037A1" w14:textId="77777777" w:rsidR="00654FF1" w:rsidRPr="00A47F16" w:rsidRDefault="00654FF1" w:rsidP="00A47F16">
            <w:pPr>
              <w:spacing w:after="0"/>
              <w:jc w:val="center"/>
              <w:rPr>
                <w:sz w:val="20"/>
                <w:szCs w:val="20"/>
              </w:rPr>
            </w:pPr>
            <w:r w:rsidRPr="00A47F16">
              <w:rPr>
                <w:sz w:val="20"/>
                <w:szCs w:val="20"/>
              </w:rPr>
              <w:t>-7.2%</w:t>
            </w:r>
          </w:p>
        </w:tc>
      </w:tr>
      <w:tr w:rsidR="00654FF1" w:rsidRPr="005B1F34" w14:paraId="1A2C9039" w14:textId="77777777" w:rsidTr="00654FF1">
        <w:trPr>
          <w:trHeight w:val="316"/>
        </w:trPr>
        <w:tc>
          <w:tcPr>
            <w:tcW w:w="15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175A41C" w14:textId="77777777" w:rsidR="00654FF1" w:rsidRPr="00A47F16" w:rsidRDefault="00654FF1" w:rsidP="00A47F16">
            <w:pPr>
              <w:spacing w:after="0"/>
              <w:rPr>
                <w:sz w:val="20"/>
                <w:szCs w:val="20"/>
              </w:rPr>
            </w:pPr>
            <w:r w:rsidRPr="00A47F16">
              <w:rPr>
                <w:sz w:val="20"/>
                <w:szCs w:val="20"/>
              </w:rPr>
              <w:t>AUT</w:t>
            </w:r>
          </w:p>
        </w:tc>
        <w:tc>
          <w:tcPr>
            <w:tcW w:w="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92566B2" w14:textId="77777777" w:rsidR="00654FF1" w:rsidRPr="00A47F16" w:rsidRDefault="00654FF1" w:rsidP="00A47F16">
            <w:pPr>
              <w:spacing w:after="0"/>
              <w:rPr>
                <w:sz w:val="20"/>
                <w:szCs w:val="20"/>
              </w:rPr>
            </w:pPr>
            <w:r w:rsidRPr="00A47F16">
              <w:rPr>
                <w:sz w:val="20"/>
                <w:szCs w:val="20"/>
              </w:rPr>
              <w:t>69.5%</w:t>
            </w:r>
          </w:p>
        </w:tc>
        <w:tc>
          <w:tcPr>
            <w:tcW w:w="7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AE17EB1" w14:textId="77777777" w:rsidR="00654FF1" w:rsidRPr="00A47F16" w:rsidRDefault="00654FF1" w:rsidP="00A47F16">
            <w:pPr>
              <w:spacing w:after="0"/>
              <w:rPr>
                <w:sz w:val="20"/>
                <w:szCs w:val="20"/>
              </w:rPr>
            </w:pPr>
            <w:r w:rsidRPr="00A47F16">
              <w:rPr>
                <w:sz w:val="20"/>
                <w:szCs w:val="20"/>
              </w:rPr>
              <w:t>87.0%</w:t>
            </w:r>
          </w:p>
        </w:tc>
        <w:tc>
          <w:tcPr>
            <w:tcW w:w="13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7C636AE" w14:textId="77777777" w:rsidR="00654FF1" w:rsidRPr="00A47F16" w:rsidRDefault="00654FF1" w:rsidP="00A47F16">
            <w:pPr>
              <w:spacing w:after="0"/>
              <w:jc w:val="center"/>
              <w:rPr>
                <w:sz w:val="20"/>
                <w:szCs w:val="20"/>
              </w:rPr>
            </w:pPr>
            <w:r w:rsidRPr="00A47F16">
              <w:rPr>
                <w:sz w:val="20"/>
                <w:szCs w:val="20"/>
              </w:rPr>
              <w:t>-17.5%</w:t>
            </w:r>
          </w:p>
        </w:tc>
      </w:tr>
      <w:tr w:rsidR="00654FF1" w:rsidRPr="005B1F34" w14:paraId="221F2475" w14:textId="77777777" w:rsidTr="00654FF1">
        <w:trPr>
          <w:trHeight w:val="555"/>
        </w:trPr>
        <w:tc>
          <w:tcPr>
            <w:tcW w:w="15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AA59A79" w14:textId="77777777" w:rsidR="00654FF1" w:rsidRPr="00A47F16" w:rsidRDefault="00654FF1" w:rsidP="00A47F16">
            <w:pPr>
              <w:spacing w:after="0"/>
              <w:rPr>
                <w:sz w:val="20"/>
                <w:szCs w:val="20"/>
              </w:rPr>
            </w:pPr>
            <w:r w:rsidRPr="00A47F16">
              <w:rPr>
                <w:sz w:val="20"/>
                <w:szCs w:val="20"/>
              </w:rPr>
              <w:t>University of Auckland</w:t>
            </w:r>
          </w:p>
        </w:tc>
        <w:tc>
          <w:tcPr>
            <w:tcW w:w="9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E23DD88" w14:textId="77777777" w:rsidR="00654FF1" w:rsidRPr="00A47F16" w:rsidRDefault="00654FF1" w:rsidP="00A47F16">
            <w:pPr>
              <w:spacing w:after="0"/>
              <w:rPr>
                <w:sz w:val="20"/>
                <w:szCs w:val="20"/>
              </w:rPr>
            </w:pPr>
            <w:r w:rsidRPr="00A47F16">
              <w:rPr>
                <w:sz w:val="20"/>
                <w:szCs w:val="20"/>
              </w:rPr>
              <w:t>75.7%</w:t>
            </w:r>
          </w:p>
        </w:tc>
        <w:tc>
          <w:tcPr>
            <w:tcW w:w="7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0F6B8D8" w14:textId="77777777" w:rsidR="00654FF1" w:rsidRPr="00A47F16" w:rsidRDefault="00654FF1" w:rsidP="00A47F16">
            <w:pPr>
              <w:spacing w:after="0"/>
              <w:rPr>
                <w:sz w:val="20"/>
                <w:szCs w:val="20"/>
              </w:rPr>
            </w:pPr>
            <w:r w:rsidRPr="00A47F16">
              <w:rPr>
                <w:sz w:val="20"/>
                <w:szCs w:val="20"/>
              </w:rPr>
              <w:t>90.7%</w:t>
            </w:r>
          </w:p>
        </w:tc>
        <w:tc>
          <w:tcPr>
            <w:tcW w:w="13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41E1BD9" w14:textId="77777777" w:rsidR="00654FF1" w:rsidRPr="00A47F16" w:rsidRDefault="00654FF1" w:rsidP="00A47F16">
            <w:pPr>
              <w:spacing w:after="0"/>
              <w:jc w:val="center"/>
              <w:rPr>
                <w:sz w:val="20"/>
                <w:szCs w:val="20"/>
              </w:rPr>
            </w:pPr>
            <w:r w:rsidRPr="00A47F16">
              <w:rPr>
                <w:sz w:val="20"/>
                <w:szCs w:val="20"/>
              </w:rPr>
              <w:t>-15.0%</w:t>
            </w:r>
          </w:p>
        </w:tc>
      </w:tr>
      <w:tr w:rsidR="00654FF1" w:rsidRPr="005B1F34" w14:paraId="478967BF" w14:textId="77777777" w:rsidTr="00654FF1">
        <w:trPr>
          <w:trHeight w:val="191"/>
        </w:trPr>
        <w:tc>
          <w:tcPr>
            <w:tcW w:w="15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FC66111" w14:textId="77777777" w:rsidR="00654FF1" w:rsidRPr="00A47F16" w:rsidRDefault="00654FF1" w:rsidP="00A47F16">
            <w:pPr>
              <w:spacing w:after="0"/>
              <w:rPr>
                <w:sz w:val="20"/>
                <w:szCs w:val="20"/>
              </w:rPr>
            </w:pPr>
            <w:r w:rsidRPr="00A47F16">
              <w:rPr>
                <w:sz w:val="20"/>
                <w:szCs w:val="20"/>
              </w:rPr>
              <w:t>ITP Sector</w:t>
            </w:r>
          </w:p>
        </w:tc>
        <w:tc>
          <w:tcPr>
            <w:tcW w:w="9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886845F" w14:textId="77777777" w:rsidR="00654FF1" w:rsidRPr="00A47F16" w:rsidRDefault="00654FF1" w:rsidP="00A47F16">
            <w:pPr>
              <w:spacing w:after="0"/>
              <w:rPr>
                <w:sz w:val="20"/>
                <w:szCs w:val="20"/>
              </w:rPr>
            </w:pPr>
            <w:r w:rsidRPr="00A47F16">
              <w:rPr>
                <w:sz w:val="20"/>
                <w:szCs w:val="20"/>
              </w:rPr>
              <w:t>73.7%</w:t>
            </w:r>
          </w:p>
        </w:tc>
        <w:tc>
          <w:tcPr>
            <w:tcW w:w="7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B90F704" w14:textId="77777777" w:rsidR="00654FF1" w:rsidRPr="00A47F16" w:rsidRDefault="00654FF1" w:rsidP="00A47F16">
            <w:pPr>
              <w:spacing w:after="0"/>
              <w:rPr>
                <w:sz w:val="20"/>
                <w:szCs w:val="20"/>
              </w:rPr>
            </w:pPr>
            <w:r w:rsidRPr="00A47F16">
              <w:rPr>
                <w:sz w:val="20"/>
                <w:szCs w:val="20"/>
              </w:rPr>
              <w:t>82.2%</w:t>
            </w:r>
          </w:p>
        </w:tc>
        <w:tc>
          <w:tcPr>
            <w:tcW w:w="13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36151BD" w14:textId="77777777" w:rsidR="00654FF1" w:rsidRPr="00A47F16" w:rsidRDefault="00654FF1" w:rsidP="00A47F16">
            <w:pPr>
              <w:spacing w:after="0"/>
              <w:jc w:val="center"/>
              <w:rPr>
                <w:sz w:val="20"/>
                <w:szCs w:val="20"/>
              </w:rPr>
            </w:pPr>
            <w:r w:rsidRPr="00A47F16">
              <w:rPr>
                <w:sz w:val="20"/>
                <w:szCs w:val="20"/>
              </w:rPr>
              <w:t>-8.5%</w:t>
            </w:r>
          </w:p>
        </w:tc>
      </w:tr>
    </w:tbl>
    <w:p w14:paraId="7D5DEB0A" w14:textId="77777777" w:rsidR="005B1F34" w:rsidRDefault="005B1F34" w:rsidP="008411C1">
      <w:r>
        <w:t xml:space="preserve">    </w:t>
      </w:r>
      <w:r w:rsidR="004F07A3" w:rsidRPr="004F07A3">
        <w:rPr>
          <w:noProof/>
          <w:lang w:eastAsia="en-NZ"/>
        </w:rPr>
        <w:drawing>
          <wp:inline distT="0" distB="0" distL="0" distR="0" wp14:anchorId="2182A666" wp14:editId="2C365E63">
            <wp:extent cx="2192784" cy="2325949"/>
            <wp:effectExtent l="0" t="0" r="17145" b="177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0EEAFA" w14:textId="77777777" w:rsidR="003C7C16" w:rsidRDefault="003C7C16" w:rsidP="008411C1"/>
    <w:p w14:paraId="3259348A" w14:textId="77777777" w:rsidR="00DF670C" w:rsidRDefault="00DF670C" w:rsidP="00DF670C">
      <w:pPr>
        <w:pStyle w:val="Heading2"/>
      </w:pPr>
      <w:r>
        <w:t>1.3.3 Under 25 years</w:t>
      </w:r>
    </w:p>
    <w:p w14:paraId="2341630F" w14:textId="22074282" w:rsidR="00B74D7D" w:rsidRDefault="00B74D7D" w:rsidP="00DF670C">
      <w:r>
        <w:t xml:space="preserve">The variance between Under 25 years and </w:t>
      </w:r>
      <w:r w:rsidR="00D67479">
        <w:t>25</w:t>
      </w:r>
      <w:r w:rsidR="00DE09C1">
        <w:t>+</w:t>
      </w:r>
      <w:r w:rsidR="00D67479">
        <w:t xml:space="preserve"> years has remained relatively consistent over the past 10 years, reaching 11.8% in 2017. This </w:t>
      </w:r>
      <w:r w:rsidR="002A71A7">
        <w:t>was</w:t>
      </w:r>
      <w:r w:rsidR="00D67479">
        <w:t xml:space="preserve"> much higher than the ITP Sector average of 2.1%</w:t>
      </w:r>
      <w:r w:rsidR="004B10EE">
        <w:t>. C</w:t>
      </w:r>
      <w:r w:rsidR="00D67479">
        <w:t xml:space="preserve">ompared with 5.9% achieved by MIT, 4.1% by AUT and 2.8% </w:t>
      </w:r>
      <w:r w:rsidR="002A71A7">
        <w:t>by</w:t>
      </w:r>
      <w:r w:rsidR="00D67479">
        <w:t xml:space="preserve"> the University of Auckland, the rate represent</w:t>
      </w:r>
      <w:r w:rsidR="002A71A7">
        <w:t>ed</w:t>
      </w:r>
      <w:r w:rsidR="00D67479">
        <w:t xml:space="preserve"> a significant gap between Unitec and other tertiary institutes. </w:t>
      </w:r>
    </w:p>
    <w:p w14:paraId="1E81F085" w14:textId="77777777" w:rsidR="002130A8" w:rsidRDefault="002130A8" w:rsidP="00DF670C"/>
    <w:tbl>
      <w:tblPr>
        <w:tblpPr w:leftFromText="180" w:rightFromText="180" w:vertAnchor="text" w:horzAnchor="page" w:tblpX="6166" w:tblpY="137"/>
        <w:tblW w:w="3984" w:type="dxa"/>
        <w:tblCellMar>
          <w:left w:w="0" w:type="dxa"/>
          <w:right w:w="0" w:type="dxa"/>
        </w:tblCellMar>
        <w:tblLook w:val="0420" w:firstRow="1" w:lastRow="0" w:firstColumn="0" w:lastColumn="0" w:noHBand="0" w:noVBand="1"/>
      </w:tblPr>
      <w:tblGrid>
        <w:gridCol w:w="1630"/>
        <w:gridCol w:w="692"/>
        <w:gridCol w:w="732"/>
        <w:gridCol w:w="930"/>
      </w:tblGrid>
      <w:tr w:rsidR="00654FF1" w:rsidRPr="00A47F16" w14:paraId="00EEFB14" w14:textId="77777777" w:rsidTr="005379B4">
        <w:trPr>
          <w:trHeight w:val="451"/>
        </w:trPr>
        <w:tc>
          <w:tcPr>
            <w:tcW w:w="16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79F4EF63" w14:textId="77777777" w:rsidR="00654FF1" w:rsidRPr="00A47F16" w:rsidRDefault="00654FF1" w:rsidP="005379B4">
            <w:pPr>
              <w:spacing w:after="0"/>
              <w:rPr>
                <w:sz w:val="20"/>
                <w:szCs w:val="20"/>
              </w:rPr>
            </w:pPr>
            <w:r w:rsidRPr="00A47F16">
              <w:rPr>
                <w:b/>
                <w:bCs/>
                <w:sz w:val="20"/>
                <w:szCs w:val="20"/>
              </w:rPr>
              <w:lastRenderedPageBreak/>
              <w:t>2017 Benchmarks</w:t>
            </w:r>
          </w:p>
        </w:tc>
        <w:tc>
          <w:tcPr>
            <w:tcW w:w="69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44909756" w14:textId="77777777" w:rsidR="00654FF1" w:rsidRPr="00A47F16" w:rsidRDefault="00654FF1" w:rsidP="005379B4">
            <w:pPr>
              <w:spacing w:after="0"/>
              <w:rPr>
                <w:sz w:val="20"/>
                <w:szCs w:val="20"/>
              </w:rPr>
            </w:pPr>
            <w:r w:rsidRPr="00A47F16">
              <w:rPr>
                <w:b/>
                <w:bCs/>
                <w:sz w:val="20"/>
                <w:szCs w:val="20"/>
              </w:rPr>
              <w:t>Under 25yrs</w:t>
            </w:r>
          </w:p>
        </w:tc>
        <w:tc>
          <w:tcPr>
            <w:tcW w:w="73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7A0A8725" w14:textId="77777777" w:rsidR="00654FF1" w:rsidRPr="00A47F16" w:rsidRDefault="00654FF1" w:rsidP="005379B4">
            <w:pPr>
              <w:spacing w:after="0"/>
              <w:rPr>
                <w:sz w:val="20"/>
                <w:szCs w:val="20"/>
              </w:rPr>
            </w:pPr>
            <w:r w:rsidRPr="00A47F16">
              <w:rPr>
                <w:b/>
                <w:bCs/>
                <w:sz w:val="20"/>
                <w:szCs w:val="20"/>
              </w:rPr>
              <w:t>25+yrs</w:t>
            </w:r>
          </w:p>
        </w:tc>
        <w:tc>
          <w:tcPr>
            <w:tcW w:w="93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00EF8C88" w14:textId="77777777" w:rsidR="00654FF1" w:rsidRPr="00A47F16" w:rsidRDefault="00654FF1" w:rsidP="005379B4">
            <w:pPr>
              <w:spacing w:after="0"/>
              <w:rPr>
                <w:sz w:val="20"/>
                <w:szCs w:val="20"/>
              </w:rPr>
            </w:pPr>
            <w:r w:rsidRPr="00A47F16">
              <w:rPr>
                <w:b/>
                <w:bCs/>
                <w:sz w:val="20"/>
                <w:szCs w:val="20"/>
              </w:rPr>
              <w:t>variance</w:t>
            </w:r>
          </w:p>
        </w:tc>
      </w:tr>
      <w:tr w:rsidR="00654FF1" w:rsidRPr="00A47F16" w14:paraId="785AC924" w14:textId="77777777" w:rsidTr="005379B4">
        <w:trPr>
          <w:trHeight w:val="366"/>
        </w:trPr>
        <w:tc>
          <w:tcPr>
            <w:tcW w:w="16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B22CE2F" w14:textId="77777777" w:rsidR="00654FF1" w:rsidRPr="00A47F16" w:rsidRDefault="00654FF1" w:rsidP="005379B4">
            <w:pPr>
              <w:spacing w:after="0"/>
              <w:rPr>
                <w:sz w:val="20"/>
                <w:szCs w:val="20"/>
              </w:rPr>
            </w:pPr>
            <w:r w:rsidRPr="00A47F16">
              <w:rPr>
                <w:sz w:val="20"/>
                <w:szCs w:val="20"/>
              </w:rPr>
              <w:t>Unitec</w:t>
            </w:r>
          </w:p>
        </w:tc>
        <w:tc>
          <w:tcPr>
            <w:tcW w:w="69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14CD4F3" w14:textId="77777777" w:rsidR="00654FF1" w:rsidRPr="00A47F16" w:rsidRDefault="00654FF1" w:rsidP="005379B4">
            <w:pPr>
              <w:spacing w:after="0"/>
              <w:rPr>
                <w:sz w:val="20"/>
                <w:szCs w:val="20"/>
              </w:rPr>
            </w:pPr>
            <w:r w:rsidRPr="00A47F16">
              <w:rPr>
                <w:sz w:val="20"/>
                <w:szCs w:val="20"/>
              </w:rPr>
              <w:t>80.1%</w:t>
            </w:r>
          </w:p>
        </w:tc>
        <w:tc>
          <w:tcPr>
            <w:tcW w:w="73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6B9240C5" w14:textId="77777777" w:rsidR="00654FF1" w:rsidRPr="00A47F16" w:rsidRDefault="00654FF1" w:rsidP="005379B4">
            <w:pPr>
              <w:spacing w:after="0"/>
              <w:rPr>
                <w:sz w:val="20"/>
                <w:szCs w:val="20"/>
              </w:rPr>
            </w:pPr>
            <w:r w:rsidRPr="00A47F16">
              <w:rPr>
                <w:sz w:val="20"/>
                <w:szCs w:val="20"/>
              </w:rPr>
              <w:t>91.9%</w:t>
            </w:r>
          </w:p>
        </w:tc>
        <w:tc>
          <w:tcPr>
            <w:tcW w:w="9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64CBC53E" w14:textId="77777777" w:rsidR="00654FF1" w:rsidRPr="00A47F16" w:rsidRDefault="00A47F16" w:rsidP="005379B4">
            <w:pPr>
              <w:spacing w:after="0"/>
              <w:rPr>
                <w:sz w:val="20"/>
                <w:szCs w:val="20"/>
              </w:rPr>
            </w:pPr>
            <w:r>
              <w:rPr>
                <w:sz w:val="20"/>
                <w:szCs w:val="20"/>
              </w:rPr>
              <w:t>-</w:t>
            </w:r>
            <w:r w:rsidR="00654FF1" w:rsidRPr="00A47F16">
              <w:rPr>
                <w:sz w:val="20"/>
                <w:szCs w:val="20"/>
              </w:rPr>
              <w:t>11.8%</w:t>
            </w:r>
          </w:p>
        </w:tc>
      </w:tr>
      <w:tr w:rsidR="00654FF1" w:rsidRPr="00A47F16" w14:paraId="78C9C7CE" w14:textId="77777777" w:rsidTr="005379B4">
        <w:trPr>
          <w:trHeight w:val="366"/>
        </w:trPr>
        <w:tc>
          <w:tcPr>
            <w:tcW w:w="16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DE36051" w14:textId="77777777" w:rsidR="00654FF1" w:rsidRPr="00A47F16" w:rsidRDefault="00654FF1" w:rsidP="005379B4">
            <w:pPr>
              <w:spacing w:after="0"/>
              <w:rPr>
                <w:sz w:val="20"/>
                <w:szCs w:val="20"/>
              </w:rPr>
            </w:pPr>
            <w:r w:rsidRPr="00A47F16">
              <w:rPr>
                <w:sz w:val="20"/>
                <w:szCs w:val="20"/>
              </w:rPr>
              <w:t>MIT</w:t>
            </w:r>
          </w:p>
        </w:tc>
        <w:tc>
          <w:tcPr>
            <w:tcW w:w="69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6F2CF2E" w14:textId="77777777" w:rsidR="00654FF1" w:rsidRPr="00A47F16" w:rsidRDefault="00654FF1" w:rsidP="005379B4">
            <w:pPr>
              <w:spacing w:after="0"/>
              <w:rPr>
                <w:sz w:val="20"/>
                <w:szCs w:val="20"/>
              </w:rPr>
            </w:pPr>
            <w:r w:rsidRPr="00A47F16">
              <w:rPr>
                <w:sz w:val="20"/>
                <w:szCs w:val="20"/>
              </w:rPr>
              <w:t>79.8%</w:t>
            </w:r>
          </w:p>
        </w:tc>
        <w:tc>
          <w:tcPr>
            <w:tcW w:w="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C02E3B0" w14:textId="77777777" w:rsidR="00654FF1" w:rsidRPr="00A47F16" w:rsidRDefault="00654FF1" w:rsidP="005379B4">
            <w:pPr>
              <w:spacing w:after="0"/>
              <w:rPr>
                <w:sz w:val="20"/>
                <w:szCs w:val="20"/>
              </w:rPr>
            </w:pPr>
            <w:r w:rsidRPr="00A47F16">
              <w:rPr>
                <w:sz w:val="20"/>
                <w:szCs w:val="20"/>
              </w:rPr>
              <w:t>85.7%</w:t>
            </w:r>
          </w:p>
        </w:tc>
        <w:tc>
          <w:tcPr>
            <w:tcW w:w="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5E5B7D2" w14:textId="77777777" w:rsidR="00654FF1" w:rsidRPr="00A47F16" w:rsidRDefault="00A47F16" w:rsidP="005379B4">
            <w:pPr>
              <w:spacing w:after="0"/>
              <w:rPr>
                <w:sz w:val="20"/>
                <w:szCs w:val="20"/>
              </w:rPr>
            </w:pPr>
            <w:r>
              <w:rPr>
                <w:sz w:val="20"/>
                <w:szCs w:val="20"/>
              </w:rPr>
              <w:t>-</w:t>
            </w:r>
            <w:r w:rsidR="00654FF1" w:rsidRPr="00A47F16">
              <w:rPr>
                <w:sz w:val="20"/>
                <w:szCs w:val="20"/>
              </w:rPr>
              <w:t>5.9%</w:t>
            </w:r>
          </w:p>
        </w:tc>
      </w:tr>
      <w:tr w:rsidR="00654FF1" w:rsidRPr="00A47F16" w14:paraId="0D77444C" w14:textId="77777777" w:rsidTr="005379B4">
        <w:trPr>
          <w:trHeight w:val="366"/>
        </w:trPr>
        <w:tc>
          <w:tcPr>
            <w:tcW w:w="16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00325D7" w14:textId="77777777" w:rsidR="00654FF1" w:rsidRPr="00A47F16" w:rsidRDefault="00654FF1" w:rsidP="005379B4">
            <w:pPr>
              <w:spacing w:after="0"/>
              <w:rPr>
                <w:sz w:val="20"/>
                <w:szCs w:val="20"/>
              </w:rPr>
            </w:pPr>
            <w:r w:rsidRPr="00A47F16">
              <w:rPr>
                <w:sz w:val="20"/>
                <w:szCs w:val="20"/>
              </w:rPr>
              <w:t>AUT</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3CF9A9F" w14:textId="77777777" w:rsidR="00654FF1" w:rsidRPr="00A47F16" w:rsidRDefault="00654FF1" w:rsidP="005379B4">
            <w:pPr>
              <w:spacing w:after="0"/>
              <w:rPr>
                <w:sz w:val="20"/>
                <w:szCs w:val="20"/>
              </w:rPr>
            </w:pPr>
            <w:r w:rsidRPr="00A47F16">
              <w:rPr>
                <w:sz w:val="20"/>
                <w:szCs w:val="20"/>
              </w:rPr>
              <w:t>84.0%</w:t>
            </w:r>
          </w:p>
        </w:tc>
        <w:tc>
          <w:tcPr>
            <w:tcW w:w="73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E6BA6CC" w14:textId="77777777" w:rsidR="00654FF1" w:rsidRPr="00A47F16" w:rsidRDefault="00654FF1" w:rsidP="005379B4">
            <w:pPr>
              <w:spacing w:after="0"/>
              <w:rPr>
                <w:sz w:val="20"/>
                <w:szCs w:val="20"/>
              </w:rPr>
            </w:pPr>
            <w:r w:rsidRPr="00A47F16">
              <w:rPr>
                <w:sz w:val="20"/>
                <w:szCs w:val="20"/>
              </w:rPr>
              <w:t>88.1%</w:t>
            </w:r>
          </w:p>
        </w:tc>
        <w:tc>
          <w:tcPr>
            <w:tcW w:w="9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2EA9C33" w14:textId="77777777" w:rsidR="00654FF1" w:rsidRPr="00A47F16" w:rsidRDefault="00A47F16" w:rsidP="005379B4">
            <w:pPr>
              <w:spacing w:after="0"/>
              <w:rPr>
                <w:sz w:val="20"/>
                <w:szCs w:val="20"/>
              </w:rPr>
            </w:pPr>
            <w:r>
              <w:rPr>
                <w:sz w:val="20"/>
                <w:szCs w:val="20"/>
              </w:rPr>
              <w:t>-</w:t>
            </w:r>
            <w:r w:rsidR="00654FF1" w:rsidRPr="00A47F16">
              <w:rPr>
                <w:sz w:val="20"/>
                <w:szCs w:val="20"/>
              </w:rPr>
              <w:t>4.1%</w:t>
            </w:r>
          </w:p>
        </w:tc>
      </w:tr>
      <w:tr w:rsidR="00654FF1" w:rsidRPr="00A47F16" w14:paraId="5BE5A3BB" w14:textId="77777777" w:rsidTr="005379B4">
        <w:trPr>
          <w:trHeight w:val="366"/>
        </w:trPr>
        <w:tc>
          <w:tcPr>
            <w:tcW w:w="16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383BD13" w14:textId="77777777" w:rsidR="00654FF1" w:rsidRPr="00A47F16" w:rsidRDefault="00654FF1" w:rsidP="005379B4">
            <w:pPr>
              <w:spacing w:after="0"/>
              <w:rPr>
                <w:sz w:val="20"/>
                <w:szCs w:val="20"/>
              </w:rPr>
            </w:pPr>
            <w:r w:rsidRPr="00A47F16">
              <w:rPr>
                <w:sz w:val="20"/>
                <w:szCs w:val="20"/>
              </w:rPr>
              <w:t>University of Auckland</w:t>
            </w:r>
          </w:p>
        </w:tc>
        <w:tc>
          <w:tcPr>
            <w:tcW w:w="69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FF954D9" w14:textId="77777777" w:rsidR="00654FF1" w:rsidRPr="00A47F16" w:rsidRDefault="00654FF1" w:rsidP="005379B4">
            <w:pPr>
              <w:spacing w:after="0"/>
              <w:rPr>
                <w:sz w:val="20"/>
                <w:szCs w:val="20"/>
              </w:rPr>
            </w:pPr>
            <w:r w:rsidRPr="00A47F16">
              <w:rPr>
                <w:sz w:val="20"/>
                <w:szCs w:val="20"/>
              </w:rPr>
              <w:t>89.1%</w:t>
            </w:r>
          </w:p>
        </w:tc>
        <w:tc>
          <w:tcPr>
            <w:tcW w:w="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B38E597" w14:textId="77777777" w:rsidR="00654FF1" w:rsidRPr="00A47F16" w:rsidRDefault="00654FF1" w:rsidP="005379B4">
            <w:pPr>
              <w:spacing w:after="0"/>
              <w:rPr>
                <w:sz w:val="20"/>
                <w:szCs w:val="20"/>
              </w:rPr>
            </w:pPr>
            <w:r w:rsidRPr="00A47F16">
              <w:rPr>
                <w:sz w:val="20"/>
                <w:szCs w:val="20"/>
              </w:rPr>
              <w:t>91.9%</w:t>
            </w:r>
          </w:p>
        </w:tc>
        <w:tc>
          <w:tcPr>
            <w:tcW w:w="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0CCCD1D" w14:textId="77777777" w:rsidR="00654FF1" w:rsidRPr="00A47F16" w:rsidRDefault="00A47F16" w:rsidP="005379B4">
            <w:pPr>
              <w:spacing w:after="0"/>
              <w:rPr>
                <w:sz w:val="20"/>
                <w:szCs w:val="20"/>
              </w:rPr>
            </w:pPr>
            <w:r>
              <w:rPr>
                <w:sz w:val="20"/>
                <w:szCs w:val="20"/>
              </w:rPr>
              <w:t>-</w:t>
            </w:r>
            <w:r w:rsidR="00654FF1" w:rsidRPr="00A47F16">
              <w:rPr>
                <w:sz w:val="20"/>
                <w:szCs w:val="20"/>
              </w:rPr>
              <w:t>2.8%</w:t>
            </w:r>
          </w:p>
        </w:tc>
      </w:tr>
      <w:tr w:rsidR="00654FF1" w:rsidRPr="00A47F16" w14:paraId="1D577480" w14:textId="77777777" w:rsidTr="005379B4">
        <w:trPr>
          <w:trHeight w:val="195"/>
        </w:trPr>
        <w:tc>
          <w:tcPr>
            <w:tcW w:w="16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3C720BE" w14:textId="77777777" w:rsidR="00654FF1" w:rsidRPr="00A47F16" w:rsidRDefault="00654FF1" w:rsidP="005379B4">
            <w:pPr>
              <w:spacing w:after="0"/>
              <w:rPr>
                <w:sz w:val="20"/>
                <w:szCs w:val="20"/>
              </w:rPr>
            </w:pPr>
            <w:r w:rsidRPr="00A47F16">
              <w:rPr>
                <w:sz w:val="20"/>
                <w:szCs w:val="20"/>
              </w:rPr>
              <w:t>ITP Sector</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93FCA66" w14:textId="77777777" w:rsidR="00654FF1" w:rsidRPr="00A47F16" w:rsidRDefault="00654FF1" w:rsidP="005379B4">
            <w:pPr>
              <w:spacing w:after="0"/>
              <w:rPr>
                <w:sz w:val="20"/>
                <w:szCs w:val="20"/>
              </w:rPr>
            </w:pPr>
            <w:r w:rsidRPr="00A47F16">
              <w:rPr>
                <w:sz w:val="20"/>
                <w:szCs w:val="20"/>
              </w:rPr>
              <w:t>80.7%</w:t>
            </w:r>
          </w:p>
        </w:tc>
        <w:tc>
          <w:tcPr>
            <w:tcW w:w="73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F449FCA" w14:textId="77777777" w:rsidR="00654FF1" w:rsidRPr="00A47F16" w:rsidRDefault="00654FF1" w:rsidP="005379B4">
            <w:pPr>
              <w:spacing w:after="0"/>
              <w:rPr>
                <w:sz w:val="20"/>
                <w:szCs w:val="20"/>
              </w:rPr>
            </w:pPr>
            <w:r w:rsidRPr="00A47F16">
              <w:rPr>
                <w:sz w:val="20"/>
                <w:szCs w:val="20"/>
              </w:rPr>
              <w:t>82.8%</w:t>
            </w:r>
          </w:p>
        </w:tc>
        <w:tc>
          <w:tcPr>
            <w:tcW w:w="9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6B30870" w14:textId="77777777" w:rsidR="00654FF1" w:rsidRPr="00A47F16" w:rsidRDefault="00A47F16" w:rsidP="005379B4">
            <w:pPr>
              <w:spacing w:after="0"/>
              <w:rPr>
                <w:sz w:val="20"/>
                <w:szCs w:val="20"/>
              </w:rPr>
            </w:pPr>
            <w:r>
              <w:rPr>
                <w:sz w:val="20"/>
                <w:szCs w:val="20"/>
              </w:rPr>
              <w:t>-</w:t>
            </w:r>
            <w:r w:rsidR="00654FF1" w:rsidRPr="00A47F16">
              <w:rPr>
                <w:sz w:val="20"/>
                <w:szCs w:val="20"/>
              </w:rPr>
              <w:t>2.1%</w:t>
            </w:r>
          </w:p>
        </w:tc>
      </w:tr>
    </w:tbl>
    <w:p w14:paraId="3F1D14BD" w14:textId="77777777" w:rsidR="002130A8" w:rsidRDefault="002130A8" w:rsidP="00DF670C"/>
    <w:p w14:paraId="59B16004" w14:textId="77777777" w:rsidR="00DF670C" w:rsidRPr="00DF670C" w:rsidRDefault="00DF670C" w:rsidP="00DF670C">
      <w:r w:rsidRPr="00DF670C">
        <w:rPr>
          <w:noProof/>
          <w:lang w:eastAsia="en-NZ"/>
        </w:rPr>
        <w:drawing>
          <wp:inline distT="0" distB="0" distL="0" distR="0" wp14:anchorId="3CCFD2CF" wp14:editId="0BD716AF">
            <wp:extent cx="2663190" cy="1868556"/>
            <wp:effectExtent l="0" t="0" r="381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 xml:space="preserve">     </w:t>
      </w:r>
    </w:p>
    <w:p w14:paraId="04BD4CA1" w14:textId="77777777" w:rsidR="008501CD" w:rsidRDefault="008501CD" w:rsidP="00DF670C"/>
    <w:p w14:paraId="6D31616D" w14:textId="77777777" w:rsidR="003F6C5B" w:rsidRDefault="003F6C5B" w:rsidP="003F6C5B">
      <w:pPr>
        <w:pStyle w:val="Heading2"/>
      </w:pPr>
      <w:r>
        <w:t>1.3.4 International</w:t>
      </w:r>
    </w:p>
    <w:p w14:paraId="1A73817F" w14:textId="77777777" w:rsidR="009E5CBF" w:rsidRDefault="009E5CBF" w:rsidP="009E5CBF">
      <w:r>
        <w:t>Over the past 10 years, the variance between international and domestic students for Successful Course Completion has fluctuated, with the gap almost closing in the period of 2012-2014 with a year-on-year widening thereafter. In 2018, the rate for international students st</w:t>
      </w:r>
      <w:r w:rsidR="00A47F16">
        <w:t>ood at 89.5%, which was</w:t>
      </w:r>
      <w:r>
        <w:t xml:space="preserve"> higher than the SCC of 79.6% for domestic students by 9.9%. </w:t>
      </w:r>
    </w:p>
    <w:p w14:paraId="5C3B9204" w14:textId="77777777" w:rsidR="009E5CBF" w:rsidRDefault="009E5CBF" w:rsidP="009E5CBF">
      <w:r>
        <w:t xml:space="preserve">In 2017, the variance between International and domestic students in Successful Course Completion Rate in Unitec is -6.7%. It is on par with AUT, also at -6.7%, and better than the ITP Sector of -11.4% and MIT at -11.3%. </w:t>
      </w:r>
    </w:p>
    <w:tbl>
      <w:tblPr>
        <w:tblpPr w:leftFromText="180" w:rightFromText="180" w:vertAnchor="text" w:horzAnchor="margin" w:tblpXSpec="right" w:tblpY="255"/>
        <w:tblW w:w="4385" w:type="dxa"/>
        <w:tblCellMar>
          <w:left w:w="0" w:type="dxa"/>
          <w:right w:w="0" w:type="dxa"/>
        </w:tblCellMar>
        <w:tblLook w:val="0420" w:firstRow="1" w:lastRow="0" w:firstColumn="0" w:lastColumn="0" w:noHBand="0" w:noVBand="1"/>
      </w:tblPr>
      <w:tblGrid>
        <w:gridCol w:w="1308"/>
        <w:gridCol w:w="1234"/>
        <w:gridCol w:w="992"/>
        <w:gridCol w:w="851"/>
      </w:tblGrid>
      <w:tr w:rsidR="001C5237" w:rsidRPr="003F6C5B" w14:paraId="2770F47A" w14:textId="77777777" w:rsidTr="001C5237">
        <w:trPr>
          <w:trHeight w:val="312"/>
        </w:trPr>
        <w:tc>
          <w:tcPr>
            <w:tcW w:w="130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745D9C16" w14:textId="77777777" w:rsidR="001C5237" w:rsidRPr="005379B4" w:rsidRDefault="001C5237" w:rsidP="001C5237">
            <w:pPr>
              <w:spacing w:after="0"/>
              <w:jc w:val="right"/>
              <w:rPr>
                <w:sz w:val="20"/>
                <w:szCs w:val="20"/>
              </w:rPr>
            </w:pPr>
            <w:r w:rsidRPr="005379B4">
              <w:rPr>
                <w:b/>
                <w:bCs/>
                <w:sz w:val="20"/>
                <w:szCs w:val="20"/>
              </w:rPr>
              <w:t>2017 Benchmarks</w:t>
            </w:r>
          </w:p>
        </w:tc>
        <w:tc>
          <w:tcPr>
            <w:tcW w:w="12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4639E2C4" w14:textId="77777777" w:rsidR="001C5237" w:rsidRPr="005379B4" w:rsidRDefault="001C5237" w:rsidP="001C5237">
            <w:pPr>
              <w:spacing w:after="0"/>
              <w:rPr>
                <w:sz w:val="20"/>
                <w:szCs w:val="20"/>
              </w:rPr>
            </w:pPr>
            <w:r w:rsidRPr="005379B4">
              <w:rPr>
                <w:b/>
                <w:bCs/>
                <w:sz w:val="20"/>
                <w:szCs w:val="20"/>
              </w:rPr>
              <w:t>International</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35BD4CE6" w14:textId="77777777" w:rsidR="001C5237" w:rsidRPr="005379B4" w:rsidRDefault="001C5237" w:rsidP="001C5237">
            <w:pPr>
              <w:spacing w:after="0"/>
              <w:rPr>
                <w:sz w:val="20"/>
                <w:szCs w:val="20"/>
              </w:rPr>
            </w:pPr>
            <w:r w:rsidRPr="005379B4">
              <w:rPr>
                <w:b/>
                <w:bCs/>
                <w:sz w:val="20"/>
                <w:szCs w:val="20"/>
              </w:rPr>
              <w:t>Domestic</w:t>
            </w:r>
          </w:p>
        </w:tc>
        <w:tc>
          <w:tcPr>
            <w:tcW w:w="85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3A3BE946" w14:textId="77777777" w:rsidR="001C5237" w:rsidRPr="005379B4" w:rsidRDefault="001C5237" w:rsidP="001C5237">
            <w:pPr>
              <w:spacing w:after="0"/>
              <w:rPr>
                <w:sz w:val="20"/>
                <w:szCs w:val="20"/>
              </w:rPr>
            </w:pPr>
            <w:r w:rsidRPr="005379B4">
              <w:rPr>
                <w:b/>
                <w:bCs/>
                <w:sz w:val="20"/>
                <w:szCs w:val="20"/>
              </w:rPr>
              <w:t>variance</w:t>
            </w:r>
          </w:p>
        </w:tc>
      </w:tr>
      <w:tr w:rsidR="001C5237" w:rsidRPr="003F6C5B" w14:paraId="6C92FE9C" w14:textId="77777777" w:rsidTr="001C5237">
        <w:trPr>
          <w:trHeight w:val="253"/>
        </w:trPr>
        <w:tc>
          <w:tcPr>
            <w:tcW w:w="130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35FC230" w14:textId="77777777" w:rsidR="001C5237" w:rsidRPr="005379B4" w:rsidRDefault="001C5237" w:rsidP="001C5237">
            <w:pPr>
              <w:spacing w:after="0"/>
              <w:rPr>
                <w:sz w:val="20"/>
                <w:szCs w:val="20"/>
              </w:rPr>
            </w:pPr>
            <w:r w:rsidRPr="005379B4">
              <w:rPr>
                <w:sz w:val="20"/>
                <w:szCs w:val="20"/>
              </w:rPr>
              <w:t>Unitec</w:t>
            </w:r>
          </w:p>
        </w:tc>
        <w:tc>
          <w:tcPr>
            <w:tcW w:w="12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BA98B6B" w14:textId="77777777" w:rsidR="001C5237" w:rsidRPr="005379B4" w:rsidRDefault="001C5237" w:rsidP="001C5237">
            <w:pPr>
              <w:spacing w:after="0"/>
              <w:rPr>
                <w:sz w:val="20"/>
                <w:szCs w:val="20"/>
              </w:rPr>
            </w:pPr>
            <w:r w:rsidRPr="005379B4">
              <w:rPr>
                <w:sz w:val="20"/>
                <w:szCs w:val="20"/>
              </w:rPr>
              <w:t>88.4%</w:t>
            </w:r>
          </w:p>
        </w:tc>
        <w:tc>
          <w:tcPr>
            <w:tcW w:w="99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2567BDC" w14:textId="77777777" w:rsidR="001C5237" w:rsidRPr="005379B4" w:rsidRDefault="001C5237" w:rsidP="001C5237">
            <w:pPr>
              <w:spacing w:after="0"/>
              <w:rPr>
                <w:sz w:val="20"/>
                <w:szCs w:val="20"/>
              </w:rPr>
            </w:pPr>
            <w:r w:rsidRPr="005379B4">
              <w:rPr>
                <w:sz w:val="20"/>
                <w:szCs w:val="20"/>
              </w:rPr>
              <w:t>81.7%</w:t>
            </w:r>
          </w:p>
        </w:tc>
        <w:tc>
          <w:tcPr>
            <w:tcW w:w="85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ADA87A8" w14:textId="77777777" w:rsidR="001C5237" w:rsidRPr="005379B4" w:rsidRDefault="001C5237" w:rsidP="001C5237">
            <w:pPr>
              <w:spacing w:after="0"/>
              <w:rPr>
                <w:sz w:val="20"/>
                <w:szCs w:val="20"/>
              </w:rPr>
            </w:pPr>
            <w:r w:rsidRPr="005379B4">
              <w:rPr>
                <w:sz w:val="20"/>
                <w:szCs w:val="20"/>
              </w:rPr>
              <w:t>6.7%</w:t>
            </w:r>
          </w:p>
        </w:tc>
      </w:tr>
      <w:tr w:rsidR="001C5237" w:rsidRPr="003F6C5B" w14:paraId="7BD869B3" w14:textId="77777777" w:rsidTr="001C5237">
        <w:trPr>
          <w:trHeight w:val="253"/>
        </w:trPr>
        <w:tc>
          <w:tcPr>
            <w:tcW w:w="13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E3EAAEB" w14:textId="77777777" w:rsidR="001C5237" w:rsidRPr="005379B4" w:rsidRDefault="001C5237" w:rsidP="001C5237">
            <w:pPr>
              <w:spacing w:after="0"/>
              <w:rPr>
                <w:sz w:val="20"/>
                <w:szCs w:val="20"/>
              </w:rPr>
            </w:pPr>
            <w:r w:rsidRPr="005379B4">
              <w:rPr>
                <w:sz w:val="20"/>
                <w:szCs w:val="20"/>
              </w:rPr>
              <w:t>MIT</w:t>
            </w:r>
          </w:p>
        </w:tc>
        <w:tc>
          <w:tcPr>
            <w:tcW w:w="12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52FEA24" w14:textId="77777777" w:rsidR="001C5237" w:rsidRPr="005379B4" w:rsidRDefault="001C5237" w:rsidP="001C5237">
            <w:pPr>
              <w:spacing w:after="0"/>
              <w:rPr>
                <w:sz w:val="20"/>
                <w:szCs w:val="20"/>
              </w:rPr>
            </w:pPr>
            <w:r w:rsidRPr="005379B4">
              <w:rPr>
                <w:sz w:val="20"/>
                <w:szCs w:val="20"/>
              </w:rPr>
              <w:t>91.8%</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A3628B7" w14:textId="77777777" w:rsidR="001C5237" w:rsidRPr="005379B4" w:rsidRDefault="001C5237" w:rsidP="001C5237">
            <w:pPr>
              <w:spacing w:after="0"/>
              <w:rPr>
                <w:sz w:val="20"/>
                <w:szCs w:val="20"/>
              </w:rPr>
            </w:pPr>
            <w:r w:rsidRPr="005379B4">
              <w:rPr>
                <w:sz w:val="20"/>
                <w:szCs w:val="20"/>
              </w:rPr>
              <w:t>80.5%</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AC4D2D1" w14:textId="77777777" w:rsidR="001C5237" w:rsidRPr="005379B4" w:rsidRDefault="001C5237" w:rsidP="001C5237">
            <w:pPr>
              <w:spacing w:after="0"/>
              <w:rPr>
                <w:sz w:val="20"/>
                <w:szCs w:val="20"/>
              </w:rPr>
            </w:pPr>
            <w:r>
              <w:rPr>
                <w:sz w:val="20"/>
                <w:szCs w:val="20"/>
              </w:rPr>
              <w:t>1</w:t>
            </w:r>
            <w:r w:rsidRPr="005379B4">
              <w:rPr>
                <w:sz w:val="20"/>
                <w:szCs w:val="20"/>
              </w:rPr>
              <w:t>1.3%</w:t>
            </w:r>
          </w:p>
        </w:tc>
      </w:tr>
      <w:tr w:rsidR="001C5237" w:rsidRPr="003F6C5B" w14:paraId="457127B9" w14:textId="77777777" w:rsidTr="001C5237">
        <w:trPr>
          <w:trHeight w:val="253"/>
        </w:trPr>
        <w:tc>
          <w:tcPr>
            <w:tcW w:w="13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85BE6B2" w14:textId="77777777" w:rsidR="001C5237" w:rsidRPr="005379B4" w:rsidRDefault="001C5237" w:rsidP="001C5237">
            <w:pPr>
              <w:spacing w:after="0"/>
              <w:rPr>
                <w:sz w:val="20"/>
                <w:szCs w:val="20"/>
              </w:rPr>
            </w:pPr>
            <w:r w:rsidRPr="005379B4">
              <w:rPr>
                <w:sz w:val="20"/>
                <w:szCs w:val="20"/>
              </w:rPr>
              <w:t>AUT</w:t>
            </w:r>
          </w:p>
        </w:tc>
        <w:tc>
          <w:tcPr>
            <w:tcW w:w="12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8AE1F72" w14:textId="77777777" w:rsidR="001C5237" w:rsidRPr="005379B4" w:rsidRDefault="001C5237" w:rsidP="001C5237">
            <w:pPr>
              <w:spacing w:after="0"/>
              <w:rPr>
                <w:sz w:val="20"/>
                <w:szCs w:val="20"/>
              </w:rPr>
            </w:pPr>
            <w:r w:rsidRPr="005379B4">
              <w:rPr>
                <w:sz w:val="20"/>
                <w:szCs w:val="20"/>
              </w:rPr>
              <w:t>90.6%</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AF917A8" w14:textId="77777777" w:rsidR="001C5237" w:rsidRPr="005379B4" w:rsidRDefault="001C5237" w:rsidP="001C5237">
            <w:pPr>
              <w:spacing w:after="0"/>
              <w:rPr>
                <w:sz w:val="20"/>
                <w:szCs w:val="20"/>
              </w:rPr>
            </w:pPr>
            <w:r w:rsidRPr="005379B4">
              <w:rPr>
                <w:sz w:val="20"/>
                <w:szCs w:val="20"/>
              </w:rPr>
              <w:t>83.9%</w:t>
            </w:r>
          </w:p>
        </w:tc>
        <w:tc>
          <w:tcPr>
            <w:tcW w:w="8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10D4733" w14:textId="77777777" w:rsidR="001C5237" w:rsidRPr="005379B4" w:rsidRDefault="001C5237" w:rsidP="001C5237">
            <w:pPr>
              <w:spacing w:after="0"/>
              <w:rPr>
                <w:sz w:val="20"/>
                <w:szCs w:val="20"/>
              </w:rPr>
            </w:pPr>
            <w:r w:rsidRPr="005379B4">
              <w:rPr>
                <w:sz w:val="20"/>
                <w:szCs w:val="20"/>
              </w:rPr>
              <w:t>6.7%</w:t>
            </w:r>
          </w:p>
        </w:tc>
      </w:tr>
      <w:tr w:rsidR="001C5237" w:rsidRPr="003F6C5B" w14:paraId="19A6900A" w14:textId="77777777" w:rsidTr="001C5237">
        <w:trPr>
          <w:trHeight w:val="253"/>
        </w:trPr>
        <w:tc>
          <w:tcPr>
            <w:tcW w:w="13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10DC6E4" w14:textId="77777777" w:rsidR="001C5237" w:rsidRPr="005379B4" w:rsidRDefault="001C5237" w:rsidP="001C5237">
            <w:pPr>
              <w:spacing w:after="0"/>
              <w:rPr>
                <w:sz w:val="20"/>
                <w:szCs w:val="20"/>
              </w:rPr>
            </w:pPr>
            <w:r w:rsidRPr="005379B4">
              <w:rPr>
                <w:sz w:val="20"/>
                <w:szCs w:val="20"/>
              </w:rPr>
              <w:t>University of Auckland</w:t>
            </w:r>
          </w:p>
        </w:tc>
        <w:tc>
          <w:tcPr>
            <w:tcW w:w="12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893D4C6" w14:textId="77777777" w:rsidR="001C5237" w:rsidRPr="005379B4" w:rsidRDefault="001C5237" w:rsidP="001C5237">
            <w:pPr>
              <w:spacing w:after="0"/>
              <w:rPr>
                <w:sz w:val="20"/>
                <w:szCs w:val="20"/>
              </w:rPr>
            </w:pPr>
            <w:r w:rsidRPr="005379B4">
              <w:rPr>
                <w:sz w:val="20"/>
                <w:szCs w:val="20"/>
              </w:rPr>
              <w:t>90.5%</w:t>
            </w:r>
          </w:p>
        </w:tc>
        <w:tc>
          <w:tcPr>
            <w:tcW w:w="99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A566F65" w14:textId="77777777" w:rsidR="001C5237" w:rsidRPr="005379B4" w:rsidRDefault="001C5237" w:rsidP="001C5237">
            <w:pPr>
              <w:spacing w:after="0"/>
              <w:rPr>
                <w:sz w:val="20"/>
                <w:szCs w:val="20"/>
              </w:rPr>
            </w:pPr>
            <w:r w:rsidRPr="005379B4">
              <w:rPr>
                <w:sz w:val="20"/>
                <w:szCs w:val="20"/>
              </w:rPr>
              <w:t>87.3%</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0FC49C2" w14:textId="77777777" w:rsidR="001C5237" w:rsidRPr="005379B4" w:rsidRDefault="001C5237" w:rsidP="001C5237">
            <w:pPr>
              <w:spacing w:after="0"/>
              <w:rPr>
                <w:sz w:val="20"/>
                <w:szCs w:val="20"/>
              </w:rPr>
            </w:pPr>
            <w:r w:rsidRPr="005379B4">
              <w:rPr>
                <w:sz w:val="20"/>
                <w:szCs w:val="20"/>
              </w:rPr>
              <w:t>3.2%</w:t>
            </w:r>
          </w:p>
        </w:tc>
      </w:tr>
      <w:tr w:rsidR="001C5237" w:rsidRPr="003F6C5B" w14:paraId="68205800" w14:textId="77777777" w:rsidTr="001C5237">
        <w:trPr>
          <w:trHeight w:val="312"/>
        </w:trPr>
        <w:tc>
          <w:tcPr>
            <w:tcW w:w="13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5F08D27" w14:textId="77777777" w:rsidR="001C5237" w:rsidRPr="005379B4" w:rsidRDefault="001C5237" w:rsidP="001C5237">
            <w:pPr>
              <w:spacing w:after="0"/>
              <w:rPr>
                <w:sz w:val="20"/>
                <w:szCs w:val="20"/>
              </w:rPr>
            </w:pPr>
            <w:r w:rsidRPr="005379B4">
              <w:rPr>
                <w:sz w:val="20"/>
                <w:szCs w:val="20"/>
              </w:rPr>
              <w:t>ITP Sector</w:t>
            </w:r>
          </w:p>
        </w:tc>
        <w:tc>
          <w:tcPr>
            <w:tcW w:w="12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863C984" w14:textId="77777777" w:rsidR="001C5237" w:rsidRPr="005379B4" w:rsidRDefault="001C5237" w:rsidP="001C5237">
            <w:pPr>
              <w:spacing w:after="0"/>
              <w:rPr>
                <w:sz w:val="20"/>
                <w:szCs w:val="20"/>
              </w:rPr>
            </w:pPr>
            <w:r w:rsidRPr="005379B4">
              <w:rPr>
                <w:sz w:val="20"/>
                <w:szCs w:val="20"/>
              </w:rPr>
              <w:t>91.1%</w:t>
            </w:r>
          </w:p>
        </w:tc>
        <w:tc>
          <w:tcPr>
            <w:tcW w:w="9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7369735" w14:textId="77777777" w:rsidR="001C5237" w:rsidRPr="005379B4" w:rsidRDefault="001C5237" w:rsidP="001C5237">
            <w:pPr>
              <w:spacing w:after="0"/>
              <w:rPr>
                <w:sz w:val="20"/>
                <w:szCs w:val="20"/>
              </w:rPr>
            </w:pPr>
            <w:r w:rsidRPr="005379B4">
              <w:rPr>
                <w:sz w:val="20"/>
                <w:szCs w:val="20"/>
              </w:rPr>
              <w:t>79.7%</w:t>
            </w:r>
          </w:p>
        </w:tc>
        <w:tc>
          <w:tcPr>
            <w:tcW w:w="8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453A652" w14:textId="77777777" w:rsidR="001C5237" w:rsidRPr="005379B4" w:rsidRDefault="001C5237" w:rsidP="001C5237">
            <w:pPr>
              <w:spacing w:after="0"/>
              <w:rPr>
                <w:sz w:val="20"/>
                <w:szCs w:val="20"/>
              </w:rPr>
            </w:pPr>
            <w:r w:rsidRPr="005379B4">
              <w:rPr>
                <w:sz w:val="20"/>
                <w:szCs w:val="20"/>
              </w:rPr>
              <w:t>11.4%</w:t>
            </w:r>
          </w:p>
        </w:tc>
      </w:tr>
    </w:tbl>
    <w:p w14:paraId="3BDCEB64" w14:textId="77777777" w:rsidR="00035605" w:rsidRDefault="005379B4" w:rsidP="00D93E75">
      <w:r w:rsidRPr="003F6C5B">
        <w:rPr>
          <w:noProof/>
          <w:lang w:eastAsia="en-NZ"/>
        </w:rPr>
        <w:drawing>
          <wp:anchor distT="0" distB="0" distL="114300" distR="114300" simplePos="0" relativeHeight="251664384" behindDoc="0" locked="0" layoutInCell="1" allowOverlap="1" wp14:anchorId="558DF5FD" wp14:editId="4222D083">
            <wp:simplePos x="0" y="0"/>
            <wp:positionH relativeFrom="margin">
              <wp:posOffset>207034</wp:posOffset>
            </wp:positionH>
            <wp:positionV relativeFrom="paragraph">
              <wp:posOffset>178687</wp:posOffset>
            </wp:positionV>
            <wp:extent cx="2562045" cy="2190750"/>
            <wp:effectExtent l="0" t="0" r="1016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253F2AAE" w14:textId="77777777" w:rsidR="00035605" w:rsidRDefault="00035605" w:rsidP="00D93E75"/>
    <w:p w14:paraId="03551667" w14:textId="77777777" w:rsidR="00035605" w:rsidRDefault="00035605" w:rsidP="00D93E75"/>
    <w:p w14:paraId="724921F1" w14:textId="77777777" w:rsidR="00035605" w:rsidRDefault="00035605" w:rsidP="00D93E75"/>
    <w:p w14:paraId="7AA8010D" w14:textId="77777777" w:rsidR="00035605" w:rsidRDefault="00035605" w:rsidP="00D93E75"/>
    <w:p w14:paraId="1A3D5339" w14:textId="77777777" w:rsidR="00035605" w:rsidRDefault="00035605" w:rsidP="00D93E75"/>
    <w:p w14:paraId="3DAE8328" w14:textId="77777777" w:rsidR="00035605" w:rsidRDefault="00035605" w:rsidP="00D93E75"/>
    <w:p w14:paraId="6AEA5A03" w14:textId="77777777" w:rsidR="00035605" w:rsidRDefault="00035605" w:rsidP="00D93E75"/>
    <w:p w14:paraId="3B8C260B" w14:textId="77777777" w:rsidR="00035605" w:rsidRDefault="00035605" w:rsidP="00D93E75"/>
    <w:p w14:paraId="0A9C3EB4" w14:textId="77777777" w:rsidR="007A1593" w:rsidRDefault="007A1593" w:rsidP="007A1593">
      <w:pPr>
        <w:pStyle w:val="Heading2"/>
      </w:pPr>
      <w:r>
        <w:t>1.4 Statistical tests – correspondence analysis</w:t>
      </w:r>
    </w:p>
    <w:p w14:paraId="271E368A" w14:textId="77777777" w:rsidR="007A1593" w:rsidRDefault="007A1593" w:rsidP="007A1593">
      <w:r>
        <w:t xml:space="preserve">A correspondence analysis to investigate associations between ethnicity, age and SCC rates (results and charts available from Te Korowai Kahurangi on request) reveals that </w:t>
      </w:r>
    </w:p>
    <w:p w14:paraId="4D1F19FC" w14:textId="77777777" w:rsidR="007A1593" w:rsidRDefault="007A1593" w:rsidP="007A1593">
      <w:pPr>
        <w:pStyle w:val="ListParagraph"/>
        <w:numPr>
          <w:ilvl w:val="0"/>
          <w:numId w:val="4"/>
        </w:numPr>
      </w:pPr>
      <w:r w:rsidRPr="00A8225C">
        <w:t>Students in the age group of 31-40 do not have a statistically significant difference in course completion rates</w:t>
      </w:r>
      <w:r>
        <w:t xml:space="preserve">, regardless of their ethnicity. </w:t>
      </w:r>
    </w:p>
    <w:p w14:paraId="3D34A7D2" w14:textId="77777777" w:rsidR="007A1593" w:rsidRDefault="007A1593" w:rsidP="007A1593">
      <w:pPr>
        <w:pStyle w:val="ListParagraph"/>
        <w:numPr>
          <w:ilvl w:val="0"/>
          <w:numId w:val="4"/>
        </w:numPr>
      </w:pPr>
      <w:r>
        <w:t>Students aged under 20 regardless of ethnicity are strongly associated with lower than 50% completion rates per student.</w:t>
      </w:r>
    </w:p>
    <w:p w14:paraId="281703E0" w14:textId="77777777" w:rsidR="003F6C5B" w:rsidRPr="003F6C5B" w:rsidRDefault="007A1593" w:rsidP="003F6C5B">
      <w:r w:rsidRPr="007A614B">
        <w:t xml:space="preserve">This means age-dependent factors like cognitive and emotional maturity </w:t>
      </w:r>
      <w:r>
        <w:t>are</w:t>
      </w:r>
      <w:r w:rsidRPr="007A614B">
        <w:t xml:space="preserve"> a better indicator of course completion rates, than ethnicity</w:t>
      </w:r>
      <w:r>
        <w:t xml:space="preserve">. </w:t>
      </w:r>
      <w:r w:rsidR="00035605">
        <w:t xml:space="preserve">     </w:t>
      </w:r>
      <w:r w:rsidR="003F6C5B">
        <w:t xml:space="preserve"> </w:t>
      </w:r>
    </w:p>
    <w:p w14:paraId="15FC6106" w14:textId="31928A85" w:rsidR="0059601E" w:rsidRPr="0059601E" w:rsidRDefault="007A1593" w:rsidP="0059601E">
      <w:pPr>
        <w:pStyle w:val="Heading2"/>
      </w:pPr>
      <w:r>
        <w:lastRenderedPageBreak/>
        <w:t>1.5</w:t>
      </w:r>
      <w:r w:rsidR="0059601E">
        <w:t xml:space="preserve"> </w:t>
      </w:r>
      <w:r w:rsidR="0059601E" w:rsidRPr="0059601E">
        <w:t xml:space="preserve">Key findings </w:t>
      </w:r>
    </w:p>
    <w:p w14:paraId="0E22E2F2" w14:textId="77777777" w:rsidR="005379B4" w:rsidRDefault="005379B4" w:rsidP="005379B4">
      <w:pPr>
        <w:pStyle w:val="ListParagraph"/>
        <w:numPr>
          <w:ilvl w:val="0"/>
          <w:numId w:val="4"/>
        </w:numPr>
      </w:pPr>
      <w:r>
        <w:t>In 2018, the overall course completion rate in 2018 fell to its lowest point in the last 6 years to 81.7%. Despite this, Unitec successfully met its Investment Plan Target of 78%.</w:t>
      </w:r>
    </w:p>
    <w:p w14:paraId="6B69277E" w14:textId="77777777" w:rsidR="006A19EE" w:rsidRDefault="005379B4" w:rsidP="006A19EE">
      <w:pPr>
        <w:pStyle w:val="ListParagraph"/>
        <w:numPr>
          <w:ilvl w:val="0"/>
          <w:numId w:val="4"/>
        </w:numPr>
      </w:pPr>
      <w:r>
        <w:t xml:space="preserve">Performance across Schools shows an uneven pattern. Low performers with high EFTS, like Trades &amp; Services and Engineering &amp; Applied Technology, </w:t>
      </w:r>
      <w:r w:rsidR="00F77571">
        <w:t>could</w:t>
      </w:r>
      <w:r>
        <w:t xml:space="preserve"> be a significant strain on the overall SCC rate. Further analysis ma</w:t>
      </w:r>
      <w:r w:rsidR="00F34400">
        <w:t>y be needed to identify the contributory factors.</w:t>
      </w:r>
    </w:p>
    <w:p w14:paraId="3C1CF4D9" w14:textId="77777777" w:rsidR="005379B4" w:rsidRDefault="005379B4" w:rsidP="005379B4">
      <w:pPr>
        <w:pStyle w:val="ListParagraph"/>
        <w:numPr>
          <w:ilvl w:val="0"/>
          <w:numId w:val="4"/>
        </w:numPr>
      </w:pPr>
      <w:r>
        <w:t>B</w:t>
      </w:r>
      <w:r w:rsidR="006A19EE">
        <w:t>ridgepoint is the lowest performer</w:t>
      </w:r>
      <w:r>
        <w:t xml:space="preserve"> </w:t>
      </w:r>
      <w:r w:rsidR="00F77571">
        <w:t>overall</w:t>
      </w:r>
      <w:r>
        <w:t xml:space="preserve">, having the lowest Successful Course Completion Rate, and across all priority groups but higher than average EFTS. </w:t>
      </w:r>
    </w:p>
    <w:p w14:paraId="3DEA0E36" w14:textId="77777777" w:rsidR="005379B4" w:rsidRDefault="005379B4" w:rsidP="005379B4">
      <w:pPr>
        <w:pStyle w:val="ListParagraph"/>
        <w:numPr>
          <w:ilvl w:val="0"/>
          <w:numId w:val="4"/>
        </w:numPr>
      </w:pPr>
      <w:r>
        <w:t xml:space="preserve">There are Schools that have been performing well with priority groups, and the example of Building Construction with its year on year improvement in terms of EFTS and SCC across all areas. Further investigation into areas of high or increasing improvement could usefully identify best practice to inform institutional strategy. </w:t>
      </w:r>
    </w:p>
    <w:p w14:paraId="572FFE3D" w14:textId="77777777" w:rsidR="00F77571" w:rsidRDefault="00F77571" w:rsidP="00F77571">
      <w:pPr>
        <w:pStyle w:val="ListParagraph"/>
        <w:numPr>
          <w:ilvl w:val="0"/>
          <w:numId w:val="4"/>
        </w:numPr>
      </w:pPr>
      <w:r>
        <w:t>The correspondence analysis suggests that age-related targeted support can be an effective approach.</w:t>
      </w:r>
    </w:p>
    <w:p w14:paraId="67395515" w14:textId="77777777" w:rsidR="00F77571" w:rsidRDefault="00F77571" w:rsidP="00F77571">
      <w:pPr>
        <w:pStyle w:val="ListParagraph"/>
      </w:pPr>
    </w:p>
    <w:p w14:paraId="1D81E830" w14:textId="77777777" w:rsidR="00420ED8" w:rsidRDefault="00420ED8" w:rsidP="00420ED8">
      <w:pPr>
        <w:pStyle w:val="Heading1"/>
      </w:pPr>
      <w:r>
        <w:t xml:space="preserve">2.0 </w:t>
      </w:r>
      <w:r>
        <w:rPr>
          <w:rFonts w:asciiTheme="minorEastAsia" w:eastAsiaTheme="minorEastAsia" w:hint="eastAsia"/>
          <w:lang w:eastAsia="zh-CN"/>
        </w:rPr>
        <w:t>Co</w:t>
      </w:r>
      <w:r>
        <w:t>hort-based Qualification Completion</w:t>
      </w:r>
    </w:p>
    <w:p w14:paraId="1BB53FF3" w14:textId="77777777" w:rsidR="00420ED8" w:rsidRDefault="00420ED8" w:rsidP="00420ED8">
      <w:pPr>
        <w:pStyle w:val="Heading2"/>
      </w:pPr>
    </w:p>
    <w:p w14:paraId="1362FDD5" w14:textId="77777777" w:rsidR="00420ED8" w:rsidRDefault="00420ED8" w:rsidP="00420ED8">
      <w:pPr>
        <w:pStyle w:val="Heading2"/>
      </w:pPr>
      <w:r>
        <w:t>2.1 Total Unitec</w:t>
      </w:r>
    </w:p>
    <w:p w14:paraId="57B0A2D4" w14:textId="77777777" w:rsidR="00420ED8" w:rsidRDefault="00420ED8" w:rsidP="00420ED8">
      <w:r w:rsidRPr="00916722">
        <w:t xml:space="preserve">2018 </w:t>
      </w:r>
      <w:r>
        <w:t xml:space="preserve">Overall Cohort-based </w:t>
      </w:r>
      <w:r w:rsidRPr="00916722">
        <w:t>qualification completion rates have declined in 2018</w:t>
      </w:r>
      <w:r>
        <w:t xml:space="preserve"> (54.4%) by 4%</w:t>
      </w:r>
      <w:r w:rsidRPr="00916722">
        <w:t xml:space="preserve"> following steady growth over the past 4 years.  </w:t>
      </w:r>
    </w:p>
    <w:p w14:paraId="2E637FAD" w14:textId="77777777" w:rsidR="00420ED8" w:rsidRDefault="00420ED8" w:rsidP="00420ED8">
      <w:r>
        <w:t>This is above the 2017 ITP Sector average (53.1%) and below the University Sector average (63.3%).</w:t>
      </w:r>
    </w:p>
    <w:p w14:paraId="3A25CF76" w14:textId="77777777" w:rsidR="00420ED8" w:rsidRDefault="00420ED8" w:rsidP="00420ED8">
      <w:r w:rsidRPr="00335A20">
        <w:rPr>
          <w:noProof/>
          <w:lang w:eastAsia="en-NZ"/>
        </w:rPr>
        <w:drawing>
          <wp:inline distT="0" distB="0" distL="0" distR="0" wp14:anchorId="4CA6171E" wp14:editId="1AD1B876">
            <wp:extent cx="4893869" cy="3162605"/>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94C3DF" w14:textId="77777777" w:rsidR="00420ED8" w:rsidRDefault="00420ED8" w:rsidP="00420ED8">
      <w:pPr>
        <w:pStyle w:val="Heading2"/>
      </w:pPr>
    </w:p>
    <w:p w14:paraId="012B3255" w14:textId="77777777" w:rsidR="00420ED8" w:rsidRDefault="00420ED8" w:rsidP="00420ED8">
      <w:pPr>
        <w:pStyle w:val="Heading2"/>
      </w:pPr>
      <w:r>
        <w:t>2.2 Schools</w:t>
      </w:r>
    </w:p>
    <w:p w14:paraId="7136A511" w14:textId="77777777" w:rsidR="00420ED8" w:rsidRDefault="00420ED8" w:rsidP="00420ED8">
      <w:r>
        <w:t xml:space="preserve">The graph below shows that the Cohort-based Qualification Completion (QC) rates across Schools have been widely varied. There are a number of Schools that continue to achieve above average results (e.g. Bridgepoint, Environmental &amp; Animal Sciences, Healthcare &amp; Social Practice, Creative </w:t>
      </w:r>
      <w:r>
        <w:lastRenderedPageBreak/>
        <w:t>Industries, Engineering &amp; Applied Technology and Applied Business). Engineering &amp; Applied Technology shows the biggest improvement of 16.3% over the past 4 years.</w:t>
      </w:r>
    </w:p>
    <w:p w14:paraId="5867743D" w14:textId="77777777" w:rsidR="00420ED8" w:rsidRDefault="00420ED8" w:rsidP="00420ED8">
      <w:r>
        <w:t>Key contributors to the overarching decline in QC in 2018 reporting year are Trades &amp; Services and Building Construction, which have the most EFTS (784 and 948) but have shown a decline of 12.7% and 6.7% over the four-year period be</w:t>
      </w:r>
      <w:r w:rsidR="00375149">
        <w:t>tween 2015-2018, contributing to t</w:t>
      </w:r>
      <w:r>
        <w:t>he overall QC</w:t>
      </w:r>
      <w:r w:rsidR="00375149">
        <w:t xml:space="preserve"> decline</w:t>
      </w:r>
      <w:r>
        <w:t xml:space="preserve">. </w:t>
      </w:r>
    </w:p>
    <w:p w14:paraId="13E31F4E" w14:textId="77777777" w:rsidR="00420ED8" w:rsidRDefault="00420ED8" w:rsidP="00420ED8">
      <w:r>
        <w:t>Trades and Services run programmes to a non-semesterized timeline and hence do not align well with the Reporting cycle. Additionally, many new programmes in Trades &amp; Services and Building Construction that commenced in the 2016 – 2018 period, and have not finished the length of the “set time period” that TEC uses to calculate the QC, could not contribute to the QC. One example is the two year New Zealand Diploma in Construction. It has the largest EFTS in Bu</w:t>
      </w:r>
      <w:r w:rsidR="00FD08D5">
        <w:t>ilding Construct</w:t>
      </w:r>
      <w:r>
        <w:t>ion (301.5 in 2018) and high Successful Course Completion rates (89.3%) yet shows no QC in the 2018 reporting year as this programme started in 2017.</w:t>
      </w:r>
      <w:r>
        <w:rPr>
          <w:rStyle w:val="FootnoteReference"/>
        </w:rPr>
        <w:footnoteReference w:id="1"/>
      </w:r>
      <w:r>
        <w:t xml:space="preserve"> </w:t>
      </w:r>
    </w:p>
    <w:tbl>
      <w:tblPr>
        <w:tblW w:w="9734" w:type="dxa"/>
        <w:tblBorders>
          <w:top w:val="single" w:sz="4" w:space="0" w:color="9BC2E6"/>
          <w:left w:val="single" w:sz="4" w:space="0" w:color="9BC2E6"/>
          <w:bottom w:val="single" w:sz="4" w:space="0" w:color="9BC2E6"/>
          <w:right w:val="single" w:sz="4" w:space="0" w:color="9BC2E6"/>
        </w:tblBorders>
        <w:tblLook w:val="04A0" w:firstRow="1" w:lastRow="0" w:firstColumn="1" w:lastColumn="0" w:noHBand="0" w:noVBand="1"/>
      </w:tblPr>
      <w:tblGrid>
        <w:gridCol w:w="2830"/>
        <w:gridCol w:w="1114"/>
        <w:gridCol w:w="862"/>
        <w:gridCol w:w="862"/>
        <w:gridCol w:w="862"/>
        <w:gridCol w:w="1357"/>
        <w:gridCol w:w="1017"/>
        <w:gridCol w:w="830"/>
      </w:tblGrid>
      <w:tr w:rsidR="00420ED8" w:rsidRPr="007653CA" w14:paraId="3B719E4D" w14:textId="77777777" w:rsidTr="00C41D8F">
        <w:trPr>
          <w:trHeight w:val="503"/>
        </w:trPr>
        <w:tc>
          <w:tcPr>
            <w:tcW w:w="9734" w:type="dxa"/>
            <w:gridSpan w:val="8"/>
            <w:shd w:val="clear" w:color="auto" w:fill="2E74B5" w:themeFill="accent1" w:themeFillShade="BF"/>
            <w:vAlign w:val="bottom"/>
          </w:tcPr>
          <w:p w14:paraId="0B34B055" w14:textId="77777777" w:rsidR="00EA1324" w:rsidRDefault="00420ED8" w:rsidP="00EA1324">
            <w:pPr>
              <w:spacing w:after="0"/>
              <w:jc w:val="center"/>
              <w:rPr>
                <w:b/>
                <w:color w:val="FFFFFF" w:themeColor="background1"/>
                <w:sz w:val="28"/>
                <w:szCs w:val="28"/>
              </w:rPr>
            </w:pPr>
            <w:r w:rsidRPr="00EA1324">
              <w:rPr>
                <w:b/>
                <w:color w:val="FFFFFF" w:themeColor="background1"/>
                <w:sz w:val="28"/>
                <w:szCs w:val="28"/>
              </w:rPr>
              <w:t xml:space="preserve">Variance in Cohort-based Qualification Completion Rate </w:t>
            </w:r>
          </w:p>
          <w:p w14:paraId="7F5D5ACE" w14:textId="77777777" w:rsidR="00420ED8" w:rsidRPr="00EA1324" w:rsidRDefault="00420ED8" w:rsidP="00EA1324">
            <w:pPr>
              <w:spacing w:after="0"/>
              <w:jc w:val="center"/>
              <w:rPr>
                <w:sz w:val="28"/>
                <w:szCs w:val="28"/>
              </w:rPr>
            </w:pPr>
            <w:r w:rsidRPr="00EA1324">
              <w:rPr>
                <w:b/>
                <w:color w:val="FFFFFF" w:themeColor="background1"/>
                <w:sz w:val="28"/>
                <w:szCs w:val="28"/>
              </w:rPr>
              <w:t>and EFTS in 2018</w:t>
            </w:r>
          </w:p>
        </w:tc>
      </w:tr>
      <w:tr w:rsidR="00420ED8" w:rsidRPr="007653CA" w14:paraId="69A09F45" w14:textId="77777777" w:rsidTr="00C41D8F">
        <w:trPr>
          <w:trHeight w:val="900"/>
        </w:trPr>
        <w:tc>
          <w:tcPr>
            <w:tcW w:w="2830" w:type="dxa"/>
            <w:shd w:val="clear" w:color="auto" w:fill="2E74B5" w:themeFill="accent1" w:themeFillShade="BF"/>
            <w:vAlign w:val="bottom"/>
            <w:hideMark/>
          </w:tcPr>
          <w:p w14:paraId="10D2C76B" w14:textId="77777777" w:rsidR="00420ED8" w:rsidRPr="007653CA" w:rsidRDefault="00420ED8" w:rsidP="00EA2B54">
            <w:pPr>
              <w:spacing w:after="0" w:line="240" w:lineRule="auto"/>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School Name</w:t>
            </w:r>
          </w:p>
        </w:tc>
        <w:tc>
          <w:tcPr>
            <w:tcW w:w="1114" w:type="dxa"/>
            <w:shd w:val="clear" w:color="auto" w:fill="2E74B5" w:themeFill="accent1" w:themeFillShade="BF"/>
            <w:vAlign w:val="bottom"/>
            <w:hideMark/>
          </w:tcPr>
          <w:p w14:paraId="01390660" w14:textId="77777777" w:rsidR="00420ED8" w:rsidRPr="007653CA" w:rsidRDefault="00420ED8" w:rsidP="00EA2B54">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2015</w:t>
            </w:r>
          </w:p>
        </w:tc>
        <w:tc>
          <w:tcPr>
            <w:tcW w:w="862" w:type="dxa"/>
            <w:shd w:val="clear" w:color="auto" w:fill="2E74B5" w:themeFill="accent1" w:themeFillShade="BF"/>
            <w:vAlign w:val="bottom"/>
            <w:hideMark/>
          </w:tcPr>
          <w:p w14:paraId="03B654B0" w14:textId="77777777" w:rsidR="00420ED8" w:rsidRPr="007653CA" w:rsidRDefault="00420ED8" w:rsidP="00EA2B54">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2016</w:t>
            </w:r>
          </w:p>
        </w:tc>
        <w:tc>
          <w:tcPr>
            <w:tcW w:w="862" w:type="dxa"/>
            <w:shd w:val="clear" w:color="auto" w:fill="2E74B5" w:themeFill="accent1" w:themeFillShade="BF"/>
            <w:vAlign w:val="bottom"/>
            <w:hideMark/>
          </w:tcPr>
          <w:p w14:paraId="04DBA62E" w14:textId="77777777" w:rsidR="00420ED8" w:rsidRPr="007653CA" w:rsidRDefault="00420ED8" w:rsidP="00EA2B54">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2017</w:t>
            </w:r>
          </w:p>
        </w:tc>
        <w:tc>
          <w:tcPr>
            <w:tcW w:w="862" w:type="dxa"/>
            <w:shd w:val="clear" w:color="auto" w:fill="2E74B5" w:themeFill="accent1" w:themeFillShade="BF"/>
            <w:vAlign w:val="bottom"/>
            <w:hideMark/>
          </w:tcPr>
          <w:p w14:paraId="7982E132" w14:textId="77777777" w:rsidR="00420ED8" w:rsidRPr="007653CA" w:rsidRDefault="00420ED8" w:rsidP="00EA2B54">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2018</w:t>
            </w:r>
          </w:p>
        </w:tc>
        <w:tc>
          <w:tcPr>
            <w:tcW w:w="1357" w:type="dxa"/>
            <w:shd w:val="clear" w:color="auto" w:fill="2E74B5" w:themeFill="accent1" w:themeFillShade="BF"/>
            <w:vAlign w:val="bottom"/>
            <w:hideMark/>
          </w:tcPr>
          <w:p w14:paraId="2D063BB8" w14:textId="77777777" w:rsidR="00420ED8" w:rsidRPr="007653CA" w:rsidRDefault="00420ED8" w:rsidP="00EA2B54">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Variance between 2017 and 2018</w:t>
            </w:r>
          </w:p>
        </w:tc>
        <w:tc>
          <w:tcPr>
            <w:tcW w:w="1017" w:type="dxa"/>
            <w:shd w:val="clear" w:color="auto" w:fill="2E74B5" w:themeFill="accent1" w:themeFillShade="BF"/>
            <w:vAlign w:val="bottom"/>
            <w:hideMark/>
          </w:tcPr>
          <w:p w14:paraId="632DD04B" w14:textId="77777777" w:rsidR="00420ED8" w:rsidRPr="007653CA" w:rsidRDefault="00420ED8" w:rsidP="00EA2B54">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Variance over 4 years</w:t>
            </w:r>
          </w:p>
        </w:tc>
        <w:tc>
          <w:tcPr>
            <w:tcW w:w="830" w:type="dxa"/>
            <w:shd w:val="clear" w:color="auto" w:fill="2E74B5" w:themeFill="accent1" w:themeFillShade="BF"/>
            <w:vAlign w:val="bottom"/>
          </w:tcPr>
          <w:p w14:paraId="6F9CADE7" w14:textId="77777777" w:rsidR="00420ED8" w:rsidRDefault="00420ED8" w:rsidP="00EA2B54">
            <w:pPr>
              <w:spacing w:after="0" w:line="240" w:lineRule="auto"/>
              <w:jc w:val="right"/>
              <w:rPr>
                <w:rFonts w:ascii="Calibri" w:eastAsia="Times New Roman" w:hAnsi="Calibri" w:cs="Calibri"/>
                <w:b/>
                <w:bCs/>
                <w:color w:val="FFFFFF"/>
                <w:lang w:eastAsia="en-NZ"/>
              </w:rPr>
            </w:pPr>
            <w:r>
              <w:rPr>
                <w:rFonts w:ascii="Calibri" w:eastAsia="Times New Roman" w:hAnsi="Calibri" w:cs="Calibri"/>
                <w:b/>
                <w:bCs/>
                <w:color w:val="FFFFFF"/>
                <w:lang w:eastAsia="en-NZ"/>
              </w:rPr>
              <w:t>EFTS</w:t>
            </w:r>
          </w:p>
          <w:p w14:paraId="68C85CE5" w14:textId="77777777" w:rsidR="00420ED8" w:rsidRPr="007653CA" w:rsidRDefault="00420ED8" w:rsidP="00EA2B54">
            <w:pPr>
              <w:spacing w:after="0" w:line="240" w:lineRule="auto"/>
              <w:jc w:val="right"/>
              <w:rPr>
                <w:rFonts w:ascii="Calibri" w:eastAsia="Times New Roman" w:hAnsi="Calibri" w:cs="Calibri"/>
                <w:b/>
                <w:bCs/>
                <w:color w:val="FFFFFF"/>
                <w:lang w:eastAsia="en-NZ"/>
              </w:rPr>
            </w:pPr>
            <w:r>
              <w:rPr>
                <w:rFonts w:ascii="Calibri" w:eastAsia="Times New Roman" w:hAnsi="Calibri" w:cs="Calibri"/>
                <w:b/>
                <w:bCs/>
                <w:color w:val="FFFFFF"/>
                <w:lang w:eastAsia="en-NZ"/>
              </w:rPr>
              <w:t>2018</w:t>
            </w:r>
          </w:p>
        </w:tc>
      </w:tr>
      <w:tr w:rsidR="00420ED8" w:rsidRPr="007653CA" w14:paraId="0EFEAFE1" w14:textId="77777777" w:rsidTr="00C41D8F">
        <w:trPr>
          <w:trHeight w:val="300"/>
        </w:trPr>
        <w:tc>
          <w:tcPr>
            <w:tcW w:w="2830" w:type="dxa"/>
            <w:shd w:val="clear" w:color="DDEBF7" w:fill="DDEBF7"/>
            <w:noWrap/>
            <w:vAlign w:val="bottom"/>
            <w:hideMark/>
          </w:tcPr>
          <w:p w14:paraId="520B115A" w14:textId="77777777" w:rsidR="00420ED8" w:rsidRPr="007653CA" w:rsidRDefault="00420ED8" w:rsidP="00EA2B54">
            <w:pPr>
              <w:spacing w:after="0" w:line="240" w:lineRule="auto"/>
              <w:rPr>
                <w:rFonts w:ascii="Calibri" w:eastAsia="Times New Roman" w:hAnsi="Calibri" w:cs="Calibri"/>
                <w:color w:val="000000"/>
                <w:lang w:eastAsia="en-NZ"/>
              </w:rPr>
            </w:pPr>
            <w:r>
              <w:rPr>
                <w:rFonts w:ascii="Calibri" w:hAnsi="Calibri" w:cs="Calibri"/>
                <w:color w:val="000000"/>
              </w:rPr>
              <w:t>Bridgepoint</w:t>
            </w:r>
          </w:p>
        </w:tc>
        <w:tc>
          <w:tcPr>
            <w:tcW w:w="1114" w:type="dxa"/>
            <w:shd w:val="clear" w:color="DDEBF7" w:fill="DDEBF7"/>
            <w:noWrap/>
            <w:vAlign w:val="bottom"/>
            <w:hideMark/>
          </w:tcPr>
          <w:p w14:paraId="0DA58A22"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65.1%</w:t>
            </w:r>
          </w:p>
        </w:tc>
        <w:tc>
          <w:tcPr>
            <w:tcW w:w="862" w:type="dxa"/>
            <w:shd w:val="clear" w:color="DDEBF7" w:fill="DDEBF7"/>
            <w:noWrap/>
            <w:vAlign w:val="bottom"/>
            <w:hideMark/>
          </w:tcPr>
          <w:p w14:paraId="22B0E510"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61.9%</w:t>
            </w:r>
          </w:p>
        </w:tc>
        <w:tc>
          <w:tcPr>
            <w:tcW w:w="862" w:type="dxa"/>
            <w:shd w:val="clear" w:color="DDEBF7" w:fill="DDEBF7"/>
            <w:noWrap/>
            <w:vAlign w:val="bottom"/>
            <w:hideMark/>
          </w:tcPr>
          <w:p w14:paraId="77505ED1"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70.0%</w:t>
            </w:r>
          </w:p>
        </w:tc>
        <w:tc>
          <w:tcPr>
            <w:tcW w:w="862" w:type="dxa"/>
            <w:shd w:val="clear" w:color="DDEBF7" w:fill="DDEBF7"/>
            <w:noWrap/>
            <w:vAlign w:val="bottom"/>
            <w:hideMark/>
          </w:tcPr>
          <w:p w14:paraId="6152671E"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70.2%</w:t>
            </w:r>
          </w:p>
        </w:tc>
        <w:tc>
          <w:tcPr>
            <w:tcW w:w="1357" w:type="dxa"/>
            <w:shd w:val="clear" w:color="DDEBF7" w:fill="DDEBF7"/>
            <w:noWrap/>
            <w:vAlign w:val="bottom"/>
            <w:hideMark/>
          </w:tcPr>
          <w:p w14:paraId="314AD905"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0.2%</w:t>
            </w:r>
          </w:p>
        </w:tc>
        <w:tc>
          <w:tcPr>
            <w:tcW w:w="1017" w:type="dxa"/>
            <w:shd w:val="clear" w:color="DDEBF7" w:fill="DDEBF7"/>
            <w:noWrap/>
            <w:vAlign w:val="bottom"/>
            <w:hideMark/>
          </w:tcPr>
          <w:p w14:paraId="1F74569B"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5.1%</w:t>
            </w:r>
          </w:p>
        </w:tc>
        <w:tc>
          <w:tcPr>
            <w:tcW w:w="830" w:type="dxa"/>
            <w:shd w:val="clear" w:color="DDEBF7" w:fill="DDEBF7"/>
          </w:tcPr>
          <w:p w14:paraId="4D2B3E37"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725.8</w:t>
            </w:r>
          </w:p>
        </w:tc>
      </w:tr>
      <w:tr w:rsidR="00420ED8" w:rsidRPr="007653CA" w14:paraId="737FC6ED" w14:textId="77777777" w:rsidTr="00C41D8F">
        <w:trPr>
          <w:trHeight w:val="300"/>
        </w:trPr>
        <w:tc>
          <w:tcPr>
            <w:tcW w:w="2830" w:type="dxa"/>
            <w:shd w:val="clear" w:color="auto" w:fill="auto"/>
            <w:noWrap/>
            <w:vAlign w:val="bottom"/>
            <w:hideMark/>
          </w:tcPr>
          <w:p w14:paraId="5BAE13CB" w14:textId="77777777" w:rsidR="00420ED8" w:rsidRPr="007653CA" w:rsidRDefault="00420ED8" w:rsidP="00EA2B54">
            <w:pPr>
              <w:spacing w:after="0" w:line="240" w:lineRule="auto"/>
              <w:rPr>
                <w:rFonts w:ascii="Calibri" w:eastAsia="Times New Roman" w:hAnsi="Calibri" w:cs="Calibri"/>
                <w:color w:val="000000"/>
                <w:lang w:eastAsia="en-NZ"/>
              </w:rPr>
            </w:pPr>
            <w:r>
              <w:rPr>
                <w:rFonts w:ascii="Calibri" w:hAnsi="Calibri" w:cs="Calibri"/>
                <w:color w:val="000000"/>
              </w:rPr>
              <w:t>Environmental &amp; Animal Sciences</w:t>
            </w:r>
          </w:p>
        </w:tc>
        <w:tc>
          <w:tcPr>
            <w:tcW w:w="1114" w:type="dxa"/>
            <w:shd w:val="clear" w:color="auto" w:fill="auto"/>
            <w:noWrap/>
            <w:vAlign w:val="bottom"/>
            <w:hideMark/>
          </w:tcPr>
          <w:p w14:paraId="403A3068"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53.0%</w:t>
            </w:r>
          </w:p>
        </w:tc>
        <w:tc>
          <w:tcPr>
            <w:tcW w:w="862" w:type="dxa"/>
            <w:shd w:val="clear" w:color="auto" w:fill="auto"/>
            <w:noWrap/>
            <w:vAlign w:val="bottom"/>
            <w:hideMark/>
          </w:tcPr>
          <w:p w14:paraId="135FE192"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62.3%</w:t>
            </w:r>
          </w:p>
        </w:tc>
        <w:tc>
          <w:tcPr>
            <w:tcW w:w="862" w:type="dxa"/>
            <w:shd w:val="clear" w:color="auto" w:fill="auto"/>
            <w:noWrap/>
            <w:vAlign w:val="bottom"/>
            <w:hideMark/>
          </w:tcPr>
          <w:p w14:paraId="605D6512"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65.8%</w:t>
            </w:r>
          </w:p>
        </w:tc>
        <w:tc>
          <w:tcPr>
            <w:tcW w:w="862" w:type="dxa"/>
            <w:shd w:val="clear" w:color="auto" w:fill="auto"/>
            <w:noWrap/>
            <w:vAlign w:val="bottom"/>
            <w:hideMark/>
          </w:tcPr>
          <w:p w14:paraId="79FB44DE"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65.2%</w:t>
            </w:r>
          </w:p>
        </w:tc>
        <w:tc>
          <w:tcPr>
            <w:tcW w:w="1357" w:type="dxa"/>
            <w:shd w:val="clear" w:color="auto" w:fill="auto"/>
            <w:noWrap/>
            <w:vAlign w:val="bottom"/>
            <w:hideMark/>
          </w:tcPr>
          <w:p w14:paraId="378DF6FA"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-0.6%</w:t>
            </w:r>
          </w:p>
        </w:tc>
        <w:tc>
          <w:tcPr>
            <w:tcW w:w="1017" w:type="dxa"/>
            <w:shd w:val="clear" w:color="auto" w:fill="auto"/>
            <w:noWrap/>
            <w:vAlign w:val="bottom"/>
            <w:hideMark/>
          </w:tcPr>
          <w:p w14:paraId="5C48B840"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12.2%</w:t>
            </w:r>
          </w:p>
        </w:tc>
        <w:tc>
          <w:tcPr>
            <w:tcW w:w="830" w:type="dxa"/>
          </w:tcPr>
          <w:p w14:paraId="6CD14A83" w14:textId="77777777" w:rsidR="00420ED8" w:rsidRDefault="00420ED8" w:rsidP="00EA2B54">
            <w:pPr>
              <w:spacing w:after="0" w:line="240" w:lineRule="auto"/>
              <w:jc w:val="right"/>
              <w:rPr>
                <w:rFonts w:ascii="Calibri" w:hAnsi="Calibri" w:cs="Calibri"/>
                <w:color w:val="000000"/>
              </w:rPr>
            </w:pPr>
          </w:p>
          <w:p w14:paraId="34246692"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374.0</w:t>
            </w:r>
          </w:p>
        </w:tc>
      </w:tr>
      <w:tr w:rsidR="00420ED8" w:rsidRPr="007653CA" w14:paraId="30F42DE2" w14:textId="77777777" w:rsidTr="00C41D8F">
        <w:trPr>
          <w:trHeight w:val="300"/>
        </w:trPr>
        <w:tc>
          <w:tcPr>
            <w:tcW w:w="2830" w:type="dxa"/>
            <w:shd w:val="clear" w:color="DDEBF7" w:fill="DDEBF7"/>
            <w:noWrap/>
            <w:vAlign w:val="bottom"/>
            <w:hideMark/>
          </w:tcPr>
          <w:p w14:paraId="07FF74C7" w14:textId="77777777" w:rsidR="00420ED8" w:rsidRPr="007653CA" w:rsidRDefault="00420ED8" w:rsidP="00EA2B54">
            <w:pPr>
              <w:spacing w:after="0" w:line="240" w:lineRule="auto"/>
              <w:rPr>
                <w:rFonts w:ascii="Calibri" w:eastAsia="Times New Roman" w:hAnsi="Calibri" w:cs="Calibri"/>
                <w:color w:val="000000"/>
                <w:lang w:eastAsia="en-NZ"/>
              </w:rPr>
            </w:pPr>
            <w:r>
              <w:rPr>
                <w:rFonts w:ascii="Calibri" w:hAnsi="Calibri" w:cs="Calibri"/>
                <w:color w:val="000000"/>
              </w:rPr>
              <w:t>Healthcare &amp; Social Practice</w:t>
            </w:r>
          </w:p>
        </w:tc>
        <w:tc>
          <w:tcPr>
            <w:tcW w:w="1114" w:type="dxa"/>
            <w:shd w:val="clear" w:color="DDEBF7" w:fill="DDEBF7"/>
            <w:noWrap/>
            <w:vAlign w:val="bottom"/>
            <w:hideMark/>
          </w:tcPr>
          <w:p w14:paraId="6E2FA160"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64.0%</w:t>
            </w:r>
          </w:p>
        </w:tc>
        <w:tc>
          <w:tcPr>
            <w:tcW w:w="862" w:type="dxa"/>
            <w:shd w:val="clear" w:color="DDEBF7" w:fill="DDEBF7"/>
            <w:noWrap/>
            <w:vAlign w:val="bottom"/>
            <w:hideMark/>
          </w:tcPr>
          <w:p w14:paraId="344ECAB9"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58.2%</w:t>
            </w:r>
          </w:p>
        </w:tc>
        <w:tc>
          <w:tcPr>
            <w:tcW w:w="862" w:type="dxa"/>
            <w:shd w:val="clear" w:color="DDEBF7" w:fill="DDEBF7"/>
            <w:noWrap/>
            <w:vAlign w:val="bottom"/>
            <w:hideMark/>
          </w:tcPr>
          <w:p w14:paraId="4DC3F5F2"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64.1%</w:t>
            </w:r>
          </w:p>
        </w:tc>
        <w:tc>
          <w:tcPr>
            <w:tcW w:w="862" w:type="dxa"/>
            <w:shd w:val="clear" w:color="DDEBF7" w:fill="DDEBF7"/>
            <w:noWrap/>
            <w:vAlign w:val="bottom"/>
            <w:hideMark/>
          </w:tcPr>
          <w:p w14:paraId="71BF1D7A"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62.6%</w:t>
            </w:r>
          </w:p>
        </w:tc>
        <w:tc>
          <w:tcPr>
            <w:tcW w:w="1357" w:type="dxa"/>
            <w:shd w:val="clear" w:color="DDEBF7" w:fill="DDEBF7"/>
            <w:noWrap/>
            <w:vAlign w:val="bottom"/>
            <w:hideMark/>
          </w:tcPr>
          <w:p w14:paraId="4BDAC5FC"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-1.5%</w:t>
            </w:r>
          </w:p>
        </w:tc>
        <w:tc>
          <w:tcPr>
            <w:tcW w:w="1017" w:type="dxa"/>
            <w:shd w:val="clear" w:color="auto" w:fill="D9E2F3" w:themeFill="accent5" w:themeFillTint="33"/>
            <w:noWrap/>
            <w:vAlign w:val="bottom"/>
            <w:hideMark/>
          </w:tcPr>
          <w:p w14:paraId="22EA2758" w14:textId="77777777" w:rsidR="00420ED8" w:rsidRPr="007653CA" w:rsidRDefault="00420ED8" w:rsidP="00EA2B54">
            <w:pPr>
              <w:spacing w:after="0" w:line="240" w:lineRule="auto"/>
              <w:jc w:val="right"/>
              <w:rPr>
                <w:rFonts w:ascii="Calibri" w:eastAsia="Times New Roman" w:hAnsi="Calibri" w:cs="Calibri"/>
                <w:color w:val="006100"/>
                <w:lang w:eastAsia="en-NZ"/>
              </w:rPr>
            </w:pPr>
            <w:r>
              <w:rPr>
                <w:rFonts w:ascii="Calibri" w:hAnsi="Calibri" w:cs="Calibri"/>
                <w:color w:val="000000"/>
              </w:rPr>
              <w:t>-1.4%</w:t>
            </w:r>
          </w:p>
        </w:tc>
        <w:tc>
          <w:tcPr>
            <w:tcW w:w="830" w:type="dxa"/>
            <w:shd w:val="clear" w:color="auto" w:fill="D9E2F3" w:themeFill="accent5" w:themeFillTint="33"/>
          </w:tcPr>
          <w:p w14:paraId="0BF429CC"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590.0</w:t>
            </w:r>
          </w:p>
        </w:tc>
      </w:tr>
      <w:tr w:rsidR="00420ED8" w:rsidRPr="007653CA" w14:paraId="519FBEBA" w14:textId="77777777" w:rsidTr="00C41D8F">
        <w:trPr>
          <w:trHeight w:val="300"/>
        </w:trPr>
        <w:tc>
          <w:tcPr>
            <w:tcW w:w="2830" w:type="dxa"/>
            <w:shd w:val="clear" w:color="auto" w:fill="auto"/>
            <w:noWrap/>
            <w:vAlign w:val="bottom"/>
            <w:hideMark/>
          </w:tcPr>
          <w:p w14:paraId="2291087A" w14:textId="77777777" w:rsidR="00420ED8" w:rsidRPr="007653CA" w:rsidRDefault="00420ED8" w:rsidP="00EA2B54">
            <w:pPr>
              <w:spacing w:after="0" w:line="240" w:lineRule="auto"/>
              <w:rPr>
                <w:rFonts w:ascii="Calibri" w:eastAsia="Times New Roman" w:hAnsi="Calibri" w:cs="Calibri"/>
                <w:color w:val="000000"/>
                <w:lang w:eastAsia="en-NZ"/>
              </w:rPr>
            </w:pPr>
            <w:r>
              <w:rPr>
                <w:rFonts w:ascii="Calibri" w:hAnsi="Calibri" w:cs="Calibri"/>
                <w:color w:val="000000"/>
              </w:rPr>
              <w:t>Creative Industries</w:t>
            </w:r>
          </w:p>
        </w:tc>
        <w:tc>
          <w:tcPr>
            <w:tcW w:w="1114" w:type="dxa"/>
            <w:shd w:val="clear" w:color="auto" w:fill="auto"/>
            <w:noWrap/>
            <w:vAlign w:val="bottom"/>
            <w:hideMark/>
          </w:tcPr>
          <w:p w14:paraId="30FEEDD6"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60.3%</w:t>
            </w:r>
          </w:p>
        </w:tc>
        <w:tc>
          <w:tcPr>
            <w:tcW w:w="862" w:type="dxa"/>
            <w:shd w:val="clear" w:color="auto" w:fill="auto"/>
            <w:noWrap/>
            <w:vAlign w:val="bottom"/>
            <w:hideMark/>
          </w:tcPr>
          <w:p w14:paraId="3EF70974"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57.7%</w:t>
            </w:r>
          </w:p>
        </w:tc>
        <w:tc>
          <w:tcPr>
            <w:tcW w:w="862" w:type="dxa"/>
            <w:shd w:val="clear" w:color="auto" w:fill="auto"/>
            <w:noWrap/>
            <w:vAlign w:val="bottom"/>
            <w:hideMark/>
          </w:tcPr>
          <w:p w14:paraId="26327165"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67.3%</w:t>
            </w:r>
          </w:p>
        </w:tc>
        <w:tc>
          <w:tcPr>
            <w:tcW w:w="862" w:type="dxa"/>
            <w:shd w:val="clear" w:color="auto" w:fill="auto"/>
            <w:noWrap/>
            <w:vAlign w:val="bottom"/>
            <w:hideMark/>
          </w:tcPr>
          <w:p w14:paraId="783509C1"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62.1%</w:t>
            </w:r>
          </w:p>
        </w:tc>
        <w:tc>
          <w:tcPr>
            <w:tcW w:w="1357" w:type="dxa"/>
            <w:shd w:val="clear" w:color="auto" w:fill="auto"/>
            <w:noWrap/>
            <w:vAlign w:val="bottom"/>
            <w:hideMark/>
          </w:tcPr>
          <w:p w14:paraId="25C417B1"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-5.2%</w:t>
            </w:r>
          </w:p>
        </w:tc>
        <w:tc>
          <w:tcPr>
            <w:tcW w:w="1017" w:type="dxa"/>
            <w:shd w:val="clear" w:color="auto" w:fill="auto"/>
            <w:noWrap/>
            <w:vAlign w:val="bottom"/>
            <w:hideMark/>
          </w:tcPr>
          <w:p w14:paraId="6ECDAE66"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1.8%</w:t>
            </w:r>
          </w:p>
        </w:tc>
        <w:tc>
          <w:tcPr>
            <w:tcW w:w="830" w:type="dxa"/>
          </w:tcPr>
          <w:p w14:paraId="63A87BBC"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397.4</w:t>
            </w:r>
          </w:p>
        </w:tc>
      </w:tr>
      <w:tr w:rsidR="00420ED8" w:rsidRPr="007653CA" w14:paraId="54DF66CA" w14:textId="77777777" w:rsidTr="00C41D8F">
        <w:trPr>
          <w:trHeight w:val="300"/>
        </w:trPr>
        <w:tc>
          <w:tcPr>
            <w:tcW w:w="2830" w:type="dxa"/>
            <w:shd w:val="clear" w:color="DDEBF7" w:fill="DDEBF7"/>
            <w:noWrap/>
            <w:vAlign w:val="bottom"/>
            <w:hideMark/>
          </w:tcPr>
          <w:p w14:paraId="7864C0D4" w14:textId="77777777" w:rsidR="00420ED8" w:rsidRPr="007653CA" w:rsidRDefault="00420ED8" w:rsidP="00EA2B54">
            <w:pPr>
              <w:spacing w:after="0" w:line="240" w:lineRule="auto"/>
              <w:rPr>
                <w:rFonts w:ascii="Calibri" w:eastAsia="Times New Roman" w:hAnsi="Calibri" w:cs="Calibri"/>
                <w:color w:val="000000"/>
                <w:lang w:eastAsia="en-NZ"/>
              </w:rPr>
            </w:pPr>
            <w:r>
              <w:rPr>
                <w:rFonts w:ascii="Calibri" w:hAnsi="Calibri" w:cs="Calibri"/>
                <w:color w:val="000000"/>
              </w:rPr>
              <w:t>Engineering &amp; Applied Technology</w:t>
            </w:r>
          </w:p>
        </w:tc>
        <w:tc>
          <w:tcPr>
            <w:tcW w:w="1114" w:type="dxa"/>
            <w:shd w:val="clear" w:color="DDEBF7" w:fill="DDEBF7"/>
            <w:noWrap/>
            <w:vAlign w:val="bottom"/>
            <w:hideMark/>
          </w:tcPr>
          <w:p w14:paraId="4C468E5C"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43.9%</w:t>
            </w:r>
          </w:p>
        </w:tc>
        <w:tc>
          <w:tcPr>
            <w:tcW w:w="862" w:type="dxa"/>
            <w:shd w:val="clear" w:color="DDEBF7" w:fill="DDEBF7"/>
            <w:noWrap/>
            <w:vAlign w:val="bottom"/>
            <w:hideMark/>
          </w:tcPr>
          <w:p w14:paraId="49D03750"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50.3%</w:t>
            </w:r>
          </w:p>
        </w:tc>
        <w:tc>
          <w:tcPr>
            <w:tcW w:w="862" w:type="dxa"/>
            <w:shd w:val="clear" w:color="DDEBF7" w:fill="DDEBF7"/>
            <w:noWrap/>
            <w:vAlign w:val="bottom"/>
            <w:hideMark/>
          </w:tcPr>
          <w:p w14:paraId="53E6D460"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61.6%</w:t>
            </w:r>
          </w:p>
        </w:tc>
        <w:tc>
          <w:tcPr>
            <w:tcW w:w="862" w:type="dxa"/>
            <w:shd w:val="clear" w:color="DDEBF7" w:fill="DDEBF7"/>
            <w:noWrap/>
            <w:vAlign w:val="bottom"/>
            <w:hideMark/>
          </w:tcPr>
          <w:p w14:paraId="596E3852"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60.2%</w:t>
            </w:r>
          </w:p>
        </w:tc>
        <w:tc>
          <w:tcPr>
            <w:tcW w:w="1357" w:type="dxa"/>
            <w:shd w:val="clear" w:color="DDEBF7" w:fill="DDEBF7"/>
            <w:noWrap/>
            <w:vAlign w:val="bottom"/>
            <w:hideMark/>
          </w:tcPr>
          <w:p w14:paraId="74738CA2"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-1.4%</w:t>
            </w:r>
          </w:p>
        </w:tc>
        <w:tc>
          <w:tcPr>
            <w:tcW w:w="1017" w:type="dxa"/>
            <w:shd w:val="clear" w:color="DDEBF7" w:fill="DDEBF7"/>
            <w:noWrap/>
            <w:vAlign w:val="bottom"/>
            <w:hideMark/>
          </w:tcPr>
          <w:p w14:paraId="0FE723CE"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16.3%</w:t>
            </w:r>
          </w:p>
        </w:tc>
        <w:tc>
          <w:tcPr>
            <w:tcW w:w="830" w:type="dxa"/>
            <w:shd w:val="clear" w:color="DDEBF7" w:fill="DDEBF7"/>
          </w:tcPr>
          <w:p w14:paraId="3155608A" w14:textId="77777777" w:rsidR="00420ED8" w:rsidRDefault="00420ED8" w:rsidP="00EA2B54">
            <w:pPr>
              <w:spacing w:after="0" w:line="240" w:lineRule="auto"/>
              <w:jc w:val="right"/>
              <w:rPr>
                <w:rFonts w:ascii="Calibri" w:hAnsi="Calibri" w:cs="Calibri"/>
                <w:color w:val="000000"/>
              </w:rPr>
            </w:pPr>
          </w:p>
          <w:p w14:paraId="33656BA5"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718.9</w:t>
            </w:r>
          </w:p>
        </w:tc>
      </w:tr>
      <w:tr w:rsidR="00420ED8" w:rsidRPr="007653CA" w14:paraId="75392BA2" w14:textId="77777777" w:rsidTr="00C41D8F">
        <w:trPr>
          <w:trHeight w:val="300"/>
        </w:trPr>
        <w:tc>
          <w:tcPr>
            <w:tcW w:w="2830" w:type="dxa"/>
            <w:shd w:val="clear" w:color="auto" w:fill="auto"/>
            <w:noWrap/>
            <w:vAlign w:val="bottom"/>
            <w:hideMark/>
          </w:tcPr>
          <w:p w14:paraId="19774906" w14:textId="77777777" w:rsidR="00420ED8" w:rsidRPr="007653CA" w:rsidRDefault="00420ED8" w:rsidP="00EA2B54">
            <w:pPr>
              <w:spacing w:after="0" w:line="240" w:lineRule="auto"/>
              <w:rPr>
                <w:rFonts w:ascii="Calibri" w:eastAsia="Times New Roman" w:hAnsi="Calibri" w:cs="Calibri"/>
                <w:color w:val="000000"/>
                <w:lang w:eastAsia="en-NZ"/>
              </w:rPr>
            </w:pPr>
            <w:r>
              <w:rPr>
                <w:rFonts w:ascii="Calibri" w:hAnsi="Calibri" w:cs="Calibri"/>
                <w:color w:val="000000"/>
              </w:rPr>
              <w:t>Applied Business</w:t>
            </w:r>
          </w:p>
        </w:tc>
        <w:tc>
          <w:tcPr>
            <w:tcW w:w="1114" w:type="dxa"/>
            <w:shd w:val="clear" w:color="auto" w:fill="auto"/>
            <w:noWrap/>
            <w:vAlign w:val="bottom"/>
            <w:hideMark/>
          </w:tcPr>
          <w:p w14:paraId="10392567"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51.1%</w:t>
            </w:r>
          </w:p>
        </w:tc>
        <w:tc>
          <w:tcPr>
            <w:tcW w:w="862" w:type="dxa"/>
            <w:shd w:val="clear" w:color="auto" w:fill="auto"/>
            <w:noWrap/>
            <w:vAlign w:val="bottom"/>
            <w:hideMark/>
          </w:tcPr>
          <w:p w14:paraId="7B5C990F"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54.2%</w:t>
            </w:r>
          </w:p>
        </w:tc>
        <w:tc>
          <w:tcPr>
            <w:tcW w:w="862" w:type="dxa"/>
            <w:shd w:val="clear" w:color="auto" w:fill="auto"/>
            <w:noWrap/>
            <w:vAlign w:val="bottom"/>
            <w:hideMark/>
          </w:tcPr>
          <w:p w14:paraId="2A68E0F1"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64.7%</w:t>
            </w:r>
          </w:p>
        </w:tc>
        <w:tc>
          <w:tcPr>
            <w:tcW w:w="862" w:type="dxa"/>
            <w:shd w:val="clear" w:color="auto" w:fill="auto"/>
            <w:noWrap/>
            <w:vAlign w:val="bottom"/>
            <w:hideMark/>
          </w:tcPr>
          <w:p w14:paraId="148A4735"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59.2%</w:t>
            </w:r>
          </w:p>
        </w:tc>
        <w:tc>
          <w:tcPr>
            <w:tcW w:w="1357" w:type="dxa"/>
            <w:shd w:val="clear" w:color="auto" w:fill="auto"/>
            <w:noWrap/>
            <w:vAlign w:val="bottom"/>
            <w:hideMark/>
          </w:tcPr>
          <w:p w14:paraId="17DA84F0"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-5.5%</w:t>
            </w:r>
          </w:p>
        </w:tc>
        <w:tc>
          <w:tcPr>
            <w:tcW w:w="1017" w:type="dxa"/>
            <w:shd w:val="clear" w:color="auto" w:fill="auto"/>
            <w:noWrap/>
            <w:vAlign w:val="bottom"/>
            <w:hideMark/>
          </w:tcPr>
          <w:p w14:paraId="352AA602"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8.1%</w:t>
            </w:r>
          </w:p>
        </w:tc>
        <w:tc>
          <w:tcPr>
            <w:tcW w:w="830" w:type="dxa"/>
          </w:tcPr>
          <w:p w14:paraId="402F64C2"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740.3</w:t>
            </w:r>
          </w:p>
        </w:tc>
      </w:tr>
      <w:tr w:rsidR="00420ED8" w:rsidRPr="007653CA" w14:paraId="2A2E38BE" w14:textId="77777777" w:rsidTr="00C41D8F">
        <w:trPr>
          <w:trHeight w:val="300"/>
        </w:trPr>
        <w:tc>
          <w:tcPr>
            <w:tcW w:w="2830" w:type="dxa"/>
            <w:shd w:val="clear" w:color="DDEBF7" w:fill="DDEBF7"/>
            <w:noWrap/>
            <w:vAlign w:val="bottom"/>
            <w:hideMark/>
          </w:tcPr>
          <w:p w14:paraId="2D4BD8CB" w14:textId="77777777" w:rsidR="00420ED8" w:rsidRPr="007653CA" w:rsidRDefault="00420ED8" w:rsidP="00EA2B54">
            <w:pPr>
              <w:spacing w:after="0" w:line="240" w:lineRule="auto"/>
              <w:rPr>
                <w:rFonts w:ascii="Calibri" w:eastAsia="Times New Roman" w:hAnsi="Calibri" w:cs="Calibri"/>
                <w:color w:val="000000"/>
                <w:lang w:eastAsia="en-NZ"/>
              </w:rPr>
            </w:pPr>
            <w:r>
              <w:rPr>
                <w:rFonts w:ascii="Calibri" w:hAnsi="Calibri" w:cs="Calibri"/>
                <w:color w:val="000000"/>
              </w:rPr>
              <w:t>Computing &amp; Information Technology</w:t>
            </w:r>
          </w:p>
        </w:tc>
        <w:tc>
          <w:tcPr>
            <w:tcW w:w="1114" w:type="dxa"/>
            <w:shd w:val="clear" w:color="DDEBF7" w:fill="DDEBF7"/>
            <w:noWrap/>
            <w:vAlign w:val="bottom"/>
            <w:hideMark/>
          </w:tcPr>
          <w:p w14:paraId="51C8AFCC"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54.9%</w:t>
            </w:r>
          </w:p>
        </w:tc>
        <w:tc>
          <w:tcPr>
            <w:tcW w:w="862" w:type="dxa"/>
            <w:shd w:val="clear" w:color="DDEBF7" w:fill="DDEBF7"/>
            <w:noWrap/>
            <w:vAlign w:val="bottom"/>
            <w:hideMark/>
          </w:tcPr>
          <w:p w14:paraId="1B0D0CF6"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52.5%</w:t>
            </w:r>
          </w:p>
        </w:tc>
        <w:tc>
          <w:tcPr>
            <w:tcW w:w="862" w:type="dxa"/>
            <w:shd w:val="clear" w:color="DDEBF7" w:fill="DDEBF7"/>
            <w:noWrap/>
            <w:vAlign w:val="bottom"/>
            <w:hideMark/>
          </w:tcPr>
          <w:p w14:paraId="5EB709C4"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58.1%</w:t>
            </w:r>
          </w:p>
        </w:tc>
        <w:tc>
          <w:tcPr>
            <w:tcW w:w="862" w:type="dxa"/>
            <w:shd w:val="clear" w:color="DDEBF7" w:fill="DDEBF7"/>
            <w:noWrap/>
            <w:vAlign w:val="bottom"/>
            <w:hideMark/>
          </w:tcPr>
          <w:p w14:paraId="2EFE7A39"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52.5%</w:t>
            </w:r>
          </w:p>
        </w:tc>
        <w:tc>
          <w:tcPr>
            <w:tcW w:w="1357" w:type="dxa"/>
            <w:shd w:val="clear" w:color="DDEBF7" w:fill="DDEBF7"/>
            <w:noWrap/>
            <w:vAlign w:val="bottom"/>
            <w:hideMark/>
          </w:tcPr>
          <w:p w14:paraId="73A3A443"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-5.6%</w:t>
            </w:r>
          </w:p>
        </w:tc>
        <w:tc>
          <w:tcPr>
            <w:tcW w:w="1017" w:type="dxa"/>
            <w:shd w:val="clear" w:color="DDEBF7" w:fill="DDEBF7"/>
            <w:noWrap/>
            <w:vAlign w:val="bottom"/>
            <w:hideMark/>
          </w:tcPr>
          <w:p w14:paraId="67E18A16"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-2.4%</w:t>
            </w:r>
          </w:p>
        </w:tc>
        <w:tc>
          <w:tcPr>
            <w:tcW w:w="830" w:type="dxa"/>
            <w:shd w:val="clear" w:color="DDEBF7" w:fill="DDEBF7"/>
          </w:tcPr>
          <w:p w14:paraId="527B4F9F" w14:textId="77777777" w:rsidR="00420ED8" w:rsidRDefault="00420ED8" w:rsidP="00EA2B54">
            <w:pPr>
              <w:spacing w:after="0" w:line="240" w:lineRule="auto"/>
              <w:jc w:val="right"/>
              <w:rPr>
                <w:rFonts w:ascii="Calibri" w:hAnsi="Calibri" w:cs="Calibri"/>
                <w:color w:val="000000"/>
              </w:rPr>
            </w:pPr>
          </w:p>
          <w:p w14:paraId="5FAA7A99"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562.4</w:t>
            </w:r>
          </w:p>
        </w:tc>
      </w:tr>
      <w:tr w:rsidR="00420ED8" w:rsidRPr="007653CA" w14:paraId="67467CDF" w14:textId="77777777" w:rsidTr="00C41D8F">
        <w:trPr>
          <w:trHeight w:val="300"/>
        </w:trPr>
        <w:tc>
          <w:tcPr>
            <w:tcW w:w="2830" w:type="dxa"/>
            <w:shd w:val="clear" w:color="auto" w:fill="auto"/>
            <w:noWrap/>
            <w:vAlign w:val="bottom"/>
            <w:hideMark/>
          </w:tcPr>
          <w:p w14:paraId="4A439FD9" w14:textId="77777777" w:rsidR="00420ED8" w:rsidRPr="007653CA" w:rsidRDefault="00420ED8" w:rsidP="00EA2B54">
            <w:pPr>
              <w:spacing w:after="0" w:line="240" w:lineRule="auto"/>
              <w:rPr>
                <w:rFonts w:ascii="Calibri" w:eastAsia="Times New Roman" w:hAnsi="Calibri" w:cs="Calibri"/>
                <w:color w:val="000000"/>
                <w:lang w:eastAsia="en-NZ"/>
              </w:rPr>
            </w:pPr>
            <w:r>
              <w:rPr>
                <w:rFonts w:ascii="Calibri" w:hAnsi="Calibri" w:cs="Calibri"/>
                <w:color w:val="000000"/>
              </w:rPr>
              <w:t>Architecture</w:t>
            </w:r>
          </w:p>
        </w:tc>
        <w:tc>
          <w:tcPr>
            <w:tcW w:w="1114" w:type="dxa"/>
            <w:shd w:val="clear" w:color="auto" w:fill="auto"/>
            <w:noWrap/>
            <w:vAlign w:val="bottom"/>
            <w:hideMark/>
          </w:tcPr>
          <w:p w14:paraId="1F5824F8"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55.1%</w:t>
            </w:r>
          </w:p>
        </w:tc>
        <w:tc>
          <w:tcPr>
            <w:tcW w:w="862" w:type="dxa"/>
            <w:shd w:val="clear" w:color="auto" w:fill="auto"/>
            <w:noWrap/>
            <w:vAlign w:val="bottom"/>
            <w:hideMark/>
          </w:tcPr>
          <w:p w14:paraId="138F0F78"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48.0%</w:t>
            </w:r>
          </w:p>
        </w:tc>
        <w:tc>
          <w:tcPr>
            <w:tcW w:w="862" w:type="dxa"/>
            <w:shd w:val="clear" w:color="auto" w:fill="auto"/>
            <w:noWrap/>
            <w:vAlign w:val="bottom"/>
            <w:hideMark/>
          </w:tcPr>
          <w:p w14:paraId="72512C1B"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47.0%</w:t>
            </w:r>
          </w:p>
        </w:tc>
        <w:tc>
          <w:tcPr>
            <w:tcW w:w="862" w:type="dxa"/>
            <w:shd w:val="clear" w:color="auto" w:fill="auto"/>
            <w:noWrap/>
            <w:vAlign w:val="bottom"/>
            <w:hideMark/>
          </w:tcPr>
          <w:p w14:paraId="2F160CE2"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49.7%</w:t>
            </w:r>
          </w:p>
        </w:tc>
        <w:tc>
          <w:tcPr>
            <w:tcW w:w="1357" w:type="dxa"/>
            <w:shd w:val="clear" w:color="auto" w:fill="auto"/>
            <w:noWrap/>
            <w:vAlign w:val="bottom"/>
            <w:hideMark/>
          </w:tcPr>
          <w:p w14:paraId="7BF9045A"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2.7%</w:t>
            </w:r>
          </w:p>
        </w:tc>
        <w:tc>
          <w:tcPr>
            <w:tcW w:w="1017" w:type="dxa"/>
            <w:shd w:val="clear" w:color="auto" w:fill="auto"/>
            <w:noWrap/>
            <w:vAlign w:val="bottom"/>
            <w:hideMark/>
          </w:tcPr>
          <w:p w14:paraId="1B28F120"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-5.4%</w:t>
            </w:r>
          </w:p>
        </w:tc>
        <w:tc>
          <w:tcPr>
            <w:tcW w:w="830" w:type="dxa"/>
          </w:tcPr>
          <w:p w14:paraId="0CB718FE"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585.1</w:t>
            </w:r>
          </w:p>
        </w:tc>
      </w:tr>
      <w:tr w:rsidR="00420ED8" w:rsidRPr="007653CA" w14:paraId="3889FF77" w14:textId="77777777" w:rsidTr="00C41D8F">
        <w:trPr>
          <w:trHeight w:val="300"/>
        </w:trPr>
        <w:tc>
          <w:tcPr>
            <w:tcW w:w="2830" w:type="dxa"/>
            <w:shd w:val="clear" w:color="DDEBF7" w:fill="DDEBF7"/>
            <w:noWrap/>
            <w:vAlign w:val="bottom"/>
            <w:hideMark/>
          </w:tcPr>
          <w:p w14:paraId="1631647C" w14:textId="77777777" w:rsidR="00420ED8" w:rsidRPr="007653CA" w:rsidRDefault="00420ED8" w:rsidP="00EA2B54">
            <w:pPr>
              <w:spacing w:after="0" w:line="240" w:lineRule="auto"/>
              <w:rPr>
                <w:rFonts w:ascii="Calibri" w:eastAsia="Times New Roman" w:hAnsi="Calibri" w:cs="Calibri"/>
                <w:color w:val="000000"/>
                <w:lang w:eastAsia="en-NZ"/>
              </w:rPr>
            </w:pPr>
            <w:r>
              <w:rPr>
                <w:rFonts w:ascii="Calibri" w:hAnsi="Calibri" w:cs="Calibri"/>
                <w:color w:val="000000"/>
              </w:rPr>
              <w:t>Community Studies</w:t>
            </w:r>
          </w:p>
        </w:tc>
        <w:tc>
          <w:tcPr>
            <w:tcW w:w="1114" w:type="dxa"/>
            <w:shd w:val="clear" w:color="DDEBF7" w:fill="DDEBF7"/>
            <w:noWrap/>
            <w:vAlign w:val="bottom"/>
            <w:hideMark/>
          </w:tcPr>
          <w:p w14:paraId="7FE8AAFB"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53.4%</w:t>
            </w:r>
          </w:p>
        </w:tc>
        <w:tc>
          <w:tcPr>
            <w:tcW w:w="862" w:type="dxa"/>
            <w:shd w:val="clear" w:color="DDEBF7" w:fill="DDEBF7"/>
            <w:noWrap/>
            <w:vAlign w:val="bottom"/>
            <w:hideMark/>
          </w:tcPr>
          <w:p w14:paraId="1BF45965"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56.8%</w:t>
            </w:r>
          </w:p>
        </w:tc>
        <w:tc>
          <w:tcPr>
            <w:tcW w:w="862" w:type="dxa"/>
            <w:shd w:val="clear" w:color="auto" w:fill="DEEAF6" w:themeFill="accent1" w:themeFillTint="33"/>
            <w:noWrap/>
            <w:vAlign w:val="bottom"/>
            <w:hideMark/>
          </w:tcPr>
          <w:p w14:paraId="08163510"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48.2%</w:t>
            </w:r>
          </w:p>
        </w:tc>
        <w:tc>
          <w:tcPr>
            <w:tcW w:w="862" w:type="dxa"/>
            <w:shd w:val="clear" w:color="auto" w:fill="DEEAF6" w:themeFill="accent1" w:themeFillTint="33"/>
            <w:noWrap/>
            <w:vAlign w:val="bottom"/>
            <w:hideMark/>
          </w:tcPr>
          <w:p w14:paraId="56FE5139" w14:textId="77777777" w:rsidR="00420ED8" w:rsidRPr="007653CA" w:rsidRDefault="00420ED8" w:rsidP="00EA2B54">
            <w:pPr>
              <w:spacing w:after="0" w:line="240" w:lineRule="auto"/>
              <w:jc w:val="right"/>
              <w:rPr>
                <w:rFonts w:ascii="Calibri" w:eastAsia="Times New Roman" w:hAnsi="Calibri" w:cs="Calibri"/>
                <w:color w:val="9C6500"/>
                <w:lang w:eastAsia="en-NZ"/>
              </w:rPr>
            </w:pPr>
            <w:r w:rsidRPr="007164BB">
              <w:rPr>
                <w:rFonts w:ascii="Calibri" w:hAnsi="Calibri" w:cs="Calibri"/>
                <w:color w:val="000000"/>
              </w:rPr>
              <w:t>46.9%</w:t>
            </w:r>
          </w:p>
        </w:tc>
        <w:tc>
          <w:tcPr>
            <w:tcW w:w="1357" w:type="dxa"/>
            <w:shd w:val="clear" w:color="auto" w:fill="DEEAF6" w:themeFill="accent1" w:themeFillTint="33"/>
            <w:noWrap/>
            <w:vAlign w:val="bottom"/>
            <w:hideMark/>
          </w:tcPr>
          <w:p w14:paraId="757ECA33"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-1.3%</w:t>
            </w:r>
          </w:p>
        </w:tc>
        <w:tc>
          <w:tcPr>
            <w:tcW w:w="1017" w:type="dxa"/>
            <w:shd w:val="clear" w:color="DDEBF7" w:fill="DDEBF7"/>
            <w:noWrap/>
            <w:vAlign w:val="bottom"/>
            <w:hideMark/>
          </w:tcPr>
          <w:p w14:paraId="1C200635"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-6.5%</w:t>
            </w:r>
          </w:p>
        </w:tc>
        <w:tc>
          <w:tcPr>
            <w:tcW w:w="830" w:type="dxa"/>
            <w:shd w:val="clear" w:color="DDEBF7" w:fill="DDEBF7"/>
          </w:tcPr>
          <w:p w14:paraId="139AE684"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341.3</w:t>
            </w:r>
          </w:p>
        </w:tc>
      </w:tr>
      <w:tr w:rsidR="00420ED8" w:rsidRPr="007653CA" w14:paraId="236B92C5" w14:textId="77777777" w:rsidTr="00C41D8F">
        <w:trPr>
          <w:trHeight w:val="300"/>
        </w:trPr>
        <w:tc>
          <w:tcPr>
            <w:tcW w:w="2830" w:type="dxa"/>
            <w:shd w:val="clear" w:color="auto" w:fill="auto"/>
            <w:noWrap/>
            <w:vAlign w:val="bottom"/>
            <w:hideMark/>
          </w:tcPr>
          <w:p w14:paraId="211A43D6" w14:textId="77777777" w:rsidR="00420ED8" w:rsidRPr="007653CA" w:rsidRDefault="00420ED8" w:rsidP="00EA2B54">
            <w:pPr>
              <w:spacing w:after="0" w:line="240" w:lineRule="auto"/>
              <w:rPr>
                <w:rFonts w:ascii="Calibri" w:eastAsia="Times New Roman" w:hAnsi="Calibri" w:cs="Calibri"/>
                <w:color w:val="000000"/>
                <w:lang w:eastAsia="en-NZ"/>
              </w:rPr>
            </w:pPr>
            <w:r>
              <w:rPr>
                <w:rFonts w:ascii="Calibri" w:hAnsi="Calibri" w:cs="Calibri"/>
                <w:color w:val="000000"/>
              </w:rPr>
              <w:t>Building Construction</w:t>
            </w:r>
          </w:p>
        </w:tc>
        <w:tc>
          <w:tcPr>
            <w:tcW w:w="1114" w:type="dxa"/>
            <w:shd w:val="clear" w:color="auto" w:fill="auto"/>
            <w:noWrap/>
            <w:vAlign w:val="bottom"/>
            <w:hideMark/>
          </w:tcPr>
          <w:p w14:paraId="07A926C9"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44.5%</w:t>
            </w:r>
          </w:p>
        </w:tc>
        <w:tc>
          <w:tcPr>
            <w:tcW w:w="862" w:type="dxa"/>
            <w:shd w:val="clear" w:color="auto" w:fill="auto"/>
            <w:noWrap/>
            <w:vAlign w:val="bottom"/>
            <w:hideMark/>
          </w:tcPr>
          <w:p w14:paraId="7F41AFC7"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39.5%</w:t>
            </w:r>
          </w:p>
        </w:tc>
        <w:tc>
          <w:tcPr>
            <w:tcW w:w="862" w:type="dxa"/>
            <w:shd w:val="clear" w:color="auto" w:fill="auto"/>
            <w:noWrap/>
            <w:vAlign w:val="bottom"/>
            <w:hideMark/>
          </w:tcPr>
          <w:p w14:paraId="16015F6E"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41.4%</w:t>
            </w:r>
          </w:p>
        </w:tc>
        <w:tc>
          <w:tcPr>
            <w:tcW w:w="862" w:type="dxa"/>
            <w:shd w:val="clear" w:color="auto" w:fill="FFFFFF" w:themeFill="background1"/>
            <w:noWrap/>
            <w:vAlign w:val="bottom"/>
            <w:hideMark/>
          </w:tcPr>
          <w:p w14:paraId="4DB6B56F" w14:textId="77777777" w:rsidR="00420ED8" w:rsidRPr="007653CA" w:rsidRDefault="00420ED8" w:rsidP="00EA2B54">
            <w:pPr>
              <w:spacing w:after="0" w:line="240" w:lineRule="auto"/>
              <w:jc w:val="right"/>
              <w:rPr>
                <w:rFonts w:ascii="Calibri" w:eastAsia="Times New Roman" w:hAnsi="Calibri" w:cs="Calibri"/>
                <w:color w:val="9C6500"/>
                <w:lang w:eastAsia="en-NZ"/>
              </w:rPr>
            </w:pPr>
            <w:r>
              <w:rPr>
                <w:rFonts w:ascii="Calibri" w:hAnsi="Calibri" w:cs="Calibri"/>
                <w:color w:val="000000"/>
              </w:rPr>
              <w:t>37.8%</w:t>
            </w:r>
          </w:p>
        </w:tc>
        <w:tc>
          <w:tcPr>
            <w:tcW w:w="1357" w:type="dxa"/>
            <w:shd w:val="clear" w:color="auto" w:fill="FFFFFF" w:themeFill="background1"/>
            <w:noWrap/>
            <w:vAlign w:val="bottom"/>
            <w:hideMark/>
          </w:tcPr>
          <w:p w14:paraId="755B3F2F"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-3.6%</w:t>
            </w:r>
          </w:p>
        </w:tc>
        <w:tc>
          <w:tcPr>
            <w:tcW w:w="1017" w:type="dxa"/>
            <w:shd w:val="clear" w:color="auto" w:fill="auto"/>
            <w:noWrap/>
            <w:vAlign w:val="bottom"/>
            <w:hideMark/>
          </w:tcPr>
          <w:p w14:paraId="4893E270"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-6.7%</w:t>
            </w:r>
          </w:p>
        </w:tc>
        <w:tc>
          <w:tcPr>
            <w:tcW w:w="830" w:type="dxa"/>
          </w:tcPr>
          <w:p w14:paraId="6C62BFF9"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948.4</w:t>
            </w:r>
          </w:p>
        </w:tc>
      </w:tr>
      <w:tr w:rsidR="00420ED8" w:rsidRPr="007653CA" w14:paraId="7CA241CC" w14:textId="77777777" w:rsidTr="00C41D8F">
        <w:trPr>
          <w:trHeight w:val="300"/>
        </w:trPr>
        <w:tc>
          <w:tcPr>
            <w:tcW w:w="2830" w:type="dxa"/>
            <w:shd w:val="clear" w:color="DDEBF7" w:fill="DDEBF7"/>
            <w:noWrap/>
            <w:vAlign w:val="bottom"/>
            <w:hideMark/>
          </w:tcPr>
          <w:p w14:paraId="70EA44D6" w14:textId="77777777" w:rsidR="00420ED8" w:rsidRPr="007653CA" w:rsidRDefault="00420ED8" w:rsidP="00EA2B54">
            <w:pPr>
              <w:spacing w:after="0" w:line="240" w:lineRule="auto"/>
              <w:rPr>
                <w:rFonts w:ascii="Calibri" w:eastAsia="Times New Roman" w:hAnsi="Calibri" w:cs="Calibri"/>
                <w:color w:val="000000"/>
                <w:lang w:eastAsia="en-NZ"/>
              </w:rPr>
            </w:pPr>
            <w:r>
              <w:rPr>
                <w:rFonts w:ascii="Calibri" w:hAnsi="Calibri" w:cs="Calibri"/>
                <w:color w:val="000000"/>
              </w:rPr>
              <w:t>Trades &amp; Services</w:t>
            </w:r>
          </w:p>
        </w:tc>
        <w:tc>
          <w:tcPr>
            <w:tcW w:w="1114" w:type="dxa"/>
            <w:shd w:val="clear" w:color="DDEBF7" w:fill="DDEBF7"/>
            <w:noWrap/>
            <w:vAlign w:val="bottom"/>
            <w:hideMark/>
          </w:tcPr>
          <w:p w14:paraId="665FCB90"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47.7%</w:t>
            </w:r>
          </w:p>
        </w:tc>
        <w:tc>
          <w:tcPr>
            <w:tcW w:w="862" w:type="dxa"/>
            <w:shd w:val="clear" w:color="DDEBF7" w:fill="DDEBF7"/>
            <w:noWrap/>
            <w:vAlign w:val="bottom"/>
            <w:hideMark/>
          </w:tcPr>
          <w:p w14:paraId="04113D0A"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45.0%</w:t>
            </w:r>
          </w:p>
        </w:tc>
        <w:tc>
          <w:tcPr>
            <w:tcW w:w="862" w:type="dxa"/>
            <w:shd w:val="clear" w:color="auto" w:fill="DEEAF6" w:themeFill="accent1" w:themeFillTint="33"/>
            <w:noWrap/>
            <w:vAlign w:val="bottom"/>
            <w:hideMark/>
          </w:tcPr>
          <w:p w14:paraId="245F676D"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44.2%</w:t>
            </w:r>
          </w:p>
        </w:tc>
        <w:tc>
          <w:tcPr>
            <w:tcW w:w="862" w:type="dxa"/>
            <w:shd w:val="clear" w:color="auto" w:fill="DEEAF6" w:themeFill="accent1" w:themeFillTint="33"/>
            <w:noWrap/>
            <w:vAlign w:val="bottom"/>
            <w:hideMark/>
          </w:tcPr>
          <w:p w14:paraId="7B0F7C50" w14:textId="77777777" w:rsidR="00420ED8" w:rsidRPr="007653CA" w:rsidRDefault="00420ED8" w:rsidP="00EA2B54">
            <w:pPr>
              <w:spacing w:after="0" w:line="240" w:lineRule="auto"/>
              <w:jc w:val="right"/>
              <w:rPr>
                <w:rFonts w:ascii="Calibri" w:eastAsia="Times New Roman" w:hAnsi="Calibri" w:cs="Calibri"/>
                <w:color w:val="9C0006"/>
                <w:lang w:eastAsia="en-NZ"/>
              </w:rPr>
            </w:pPr>
            <w:r>
              <w:rPr>
                <w:rFonts w:ascii="Calibri" w:hAnsi="Calibri" w:cs="Calibri"/>
                <w:color w:val="000000"/>
              </w:rPr>
              <w:t>35.0%</w:t>
            </w:r>
          </w:p>
        </w:tc>
        <w:tc>
          <w:tcPr>
            <w:tcW w:w="1357" w:type="dxa"/>
            <w:shd w:val="clear" w:color="auto" w:fill="DEEAF6" w:themeFill="accent1" w:themeFillTint="33"/>
            <w:noWrap/>
            <w:vAlign w:val="bottom"/>
            <w:hideMark/>
          </w:tcPr>
          <w:p w14:paraId="1C21005A"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-9.2%</w:t>
            </w:r>
          </w:p>
        </w:tc>
        <w:tc>
          <w:tcPr>
            <w:tcW w:w="1017" w:type="dxa"/>
            <w:shd w:val="clear" w:color="DDEBF7" w:fill="DDEBF7"/>
            <w:noWrap/>
            <w:vAlign w:val="bottom"/>
            <w:hideMark/>
          </w:tcPr>
          <w:p w14:paraId="391736C4"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-12.7%</w:t>
            </w:r>
          </w:p>
        </w:tc>
        <w:tc>
          <w:tcPr>
            <w:tcW w:w="830" w:type="dxa"/>
            <w:shd w:val="clear" w:color="DDEBF7" w:fill="DDEBF7"/>
          </w:tcPr>
          <w:p w14:paraId="4A9CCE46"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784.0</w:t>
            </w:r>
          </w:p>
        </w:tc>
      </w:tr>
      <w:tr w:rsidR="00420ED8" w:rsidRPr="007653CA" w14:paraId="768851FC" w14:textId="77777777" w:rsidTr="00C41D8F">
        <w:trPr>
          <w:trHeight w:val="300"/>
        </w:trPr>
        <w:tc>
          <w:tcPr>
            <w:tcW w:w="2830" w:type="dxa"/>
            <w:shd w:val="clear" w:color="auto" w:fill="auto"/>
            <w:noWrap/>
            <w:vAlign w:val="bottom"/>
            <w:hideMark/>
          </w:tcPr>
          <w:p w14:paraId="77C31E4D" w14:textId="77777777" w:rsidR="00420ED8" w:rsidRPr="007653CA" w:rsidRDefault="00420ED8" w:rsidP="00EA2B54">
            <w:pPr>
              <w:spacing w:after="0" w:line="240" w:lineRule="auto"/>
              <w:rPr>
                <w:rFonts w:ascii="Calibri" w:eastAsia="Times New Roman" w:hAnsi="Calibri" w:cs="Calibri"/>
                <w:b/>
                <w:bCs/>
                <w:color w:val="000000"/>
                <w:lang w:eastAsia="en-NZ"/>
              </w:rPr>
            </w:pPr>
            <w:r>
              <w:rPr>
                <w:rFonts w:ascii="Calibri" w:hAnsi="Calibri" w:cs="Calibri"/>
                <w:color w:val="000000"/>
              </w:rPr>
              <w:t>Grand Total</w:t>
            </w:r>
          </w:p>
        </w:tc>
        <w:tc>
          <w:tcPr>
            <w:tcW w:w="1114" w:type="dxa"/>
            <w:shd w:val="clear" w:color="auto" w:fill="auto"/>
            <w:noWrap/>
            <w:vAlign w:val="bottom"/>
            <w:hideMark/>
          </w:tcPr>
          <w:p w14:paraId="136E5F18" w14:textId="77777777" w:rsidR="00420ED8" w:rsidRPr="007653CA" w:rsidRDefault="00420ED8" w:rsidP="00EA2B54">
            <w:pPr>
              <w:spacing w:after="0" w:line="240" w:lineRule="auto"/>
              <w:jc w:val="right"/>
              <w:rPr>
                <w:rFonts w:ascii="Calibri" w:eastAsia="Times New Roman" w:hAnsi="Calibri" w:cs="Calibri"/>
                <w:b/>
                <w:bCs/>
                <w:color w:val="000000"/>
                <w:lang w:eastAsia="en-NZ"/>
              </w:rPr>
            </w:pPr>
            <w:r>
              <w:rPr>
                <w:rFonts w:ascii="Calibri" w:hAnsi="Calibri" w:cs="Calibri"/>
                <w:color w:val="000000"/>
              </w:rPr>
              <w:t>53.3%</w:t>
            </w:r>
          </w:p>
        </w:tc>
        <w:tc>
          <w:tcPr>
            <w:tcW w:w="862" w:type="dxa"/>
            <w:shd w:val="clear" w:color="auto" w:fill="auto"/>
            <w:noWrap/>
            <w:vAlign w:val="bottom"/>
            <w:hideMark/>
          </w:tcPr>
          <w:p w14:paraId="0C42DD96" w14:textId="77777777" w:rsidR="00420ED8" w:rsidRPr="007653CA" w:rsidRDefault="00420ED8" w:rsidP="00EA2B54">
            <w:pPr>
              <w:spacing w:after="0" w:line="240" w:lineRule="auto"/>
              <w:jc w:val="right"/>
              <w:rPr>
                <w:rFonts w:ascii="Calibri" w:eastAsia="Times New Roman" w:hAnsi="Calibri" w:cs="Calibri"/>
                <w:b/>
                <w:bCs/>
                <w:color w:val="000000"/>
                <w:lang w:eastAsia="en-NZ"/>
              </w:rPr>
            </w:pPr>
            <w:r>
              <w:rPr>
                <w:rFonts w:ascii="Calibri" w:hAnsi="Calibri" w:cs="Calibri"/>
                <w:color w:val="000000"/>
              </w:rPr>
              <w:t>54.2%</w:t>
            </w:r>
          </w:p>
        </w:tc>
        <w:tc>
          <w:tcPr>
            <w:tcW w:w="862" w:type="dxa"/>
            <w:shd w:val="clear" w:color="auto" w:fill="auto"/>
            <w:noWrap/>
            <w:vAlign w:val="bottom"/>
            <w:hideMark/>
          </w:tcPr>
          <w:p w14:paraId="7C3B6A01" w14:textId="77777777" w:rsidR="00420ED8" w:rsidRPr="007653CA" w:rsidRDefault="00420ED8" w:rsidP="00EA2B54">
            <w:pPr>
              <w:spacing w:after="0" w:line="240" w:lineRule="auto"/>
              <w:jc w:val="right"/>
              <w:rPr>
                <w:rFonts w:ascii="Calibri" w:eastAsia="Times New Roman" w:hAnsi="Calibri" w:cs="Calibri"/>
                <w:b/>
                <w:bCs/>
                <w:color w:val="000000"/>
                <w:lang w:eastAsia="en-NZ"/>
              </w:rPr>
            </w:pPr>
            <w:r>
              <w:rPr>
                <w:rFonts w:ascii="Calibri" w:hAnsi="Calibri" w:cs="Calibri"/>
                <w:color w:val="000000"/>
              </w:rPr>
              <w:t>58.5%</w:t>
            </w:r>
          </w:p>
        </w:tc>
        <w:tc>
          <w:tcPr>
            <w:tcW w:w="862" w:type="dxa"/>
            <w:shd w:val="clear" w:color="auto" w:fill="auto"/>
            <w:noWrap/>
            <w:vAlign w:val="bottom"/>
            <w:hideMark/>
          </w:tcPr>
          <w:p w14:paraId="0E5E9024" w14:textId="77777777" w:rsidR="00420ED8" w:rsidRPr="007653CA" w:rsidRDefault="00420ED8" w:rsidP="00EA2B54">
            <w:pPr>
              <w:spacing w:after="0" w:line="240" w:lineRule="auto"/>
              <w:jc w:val="right"/>
              <w:rPr>
                <w:rFonts w:ascii="Calibri" w:eastAsia="Times New Roman" w:hAnsi="Calibri" w:cs="Calibri"/>
                <w:b/>
                <w:bCs/>
                <w:color w:val="000000"/>
                <w:lang w:eastAsia="en-NZ"/>
              </w:rPr>
            </w:pPr>
            <w:r>
              <w:rPr>
                <w:rFonts w:ascii="Calibri" w:hAnsi="Calibri" w:cs="Calibri"/>
                <w:color w:val="000000"/>
              </w:rPr>
              <w:t>53.9%</w:t>
            </w:r>
          </w:p>
        </w:tc>
        <w:tc>
          <w:tcPr>
            <w:tcW w:w="1357" w:type="dxa"/>
            <w:shd w:val="clear" w:color="auto" w:fill="auto"/>
            <w:noWrap/>
            <w:vAlign w:val="bottom"/>
            <w:hideMark/>
          </w:tcPr>
          <w:p w14:paraId="5CCC7E95" w14:textId="77777777" w:rsidR="00420ED8" w:rsidRPr="007653CA" w:rsidRDefault="00420ED8" w:rsidP="00EA2B54">
            <w:pPr>
              <w:spacing w:after="0" w:line="240" w:lineRule="auto"/>
              <w:jc w:val="right"/>
              <w:rPr>
                <w:rFonts w:ascii="Calibri" w:eastAsia="Times New Roman" w:hAnsi="Calibri" w:cs="Calibri"/>
                <w:b/>
                <w:bCs/>
                <w:color w:val="000000"/>
                <w:lang w:eastAsia="en-NZ"/>
              </w:rPr>
            </w:pPr>
            <w:r>
              <w:rPr>
                <w:rFonts w:ascii="Calibri" w:hAnsi="Calibri" w:cs="Calibri"/>
                <w:color w:val="000000"/>
              </w:rPr>
              <w:t>-4.6%</w:t>
            </w:r>
          </w:p>
        </w:tc>
        <w:tc>
          <w:tcPr>
            <w:tcW w:w="1017" w:type="dxa"/>
            <w:shd w:val="clear" w:color="auto" w:fill="auto"/>
            <w:noWrap/>
            <w:vAlign w:val="bottom"/>
            <w:hideMark/>
          </w:tcPr>
          <w:p w14:paraId="2C20FB3D" w14:textId="77777777" w:rsidR="00420ED8" w:rsidRPr="007653CA" w:rsidRDefault="00420ED8" w:rsidP="00EA2B54">
            <w:pPr>
              <w:spacing w:after="0" w:line="240" w:lineRule="auto"/>
              <w:jc w:val="right"/>
              <w:rPr>
                <w:rFonts w:ascii="Calibri" w:eastAsia="Times New Roman" w:hAnsi="Calibri" w:cs="Calibri"/>
                <w:color w:val="000000"/>
                <w:lang w:eastAsia="en-NZ"/>
              </w:rPr>
            </w:pPr>
            <w:r>
              <w:rPr>
                <w:rFonts w:ascii="Calibri" w:hAnsi="Calibri" w:cs="Calibri"/>
                <w:color w:val="000000"/>
              </w:rPr>
              <w:t>0.6%</w:t>
            </w:r>
          </w:p>
        </w:tc>
        <w:tc>
          <w:tcPr>
            <w:tcW w:w="830" w:type="dxa"/>
          </w:tcPr>
          <w:p w14:paraId="0853163A" w14:textId="77777777" w:rsidR="00420ED8" w:rsidRDefault="00420ED8" w:rsidP="00EA2B54">
            <w:pPr>
              <w:spacing w:after="0" w:line="240" w:lineRule="auto"/>
              <w:jc w:val="right"/>
              <w:rPr>
                <w:rFonts w:ascii="Calibri" w:hAnsi="Calibri" w:cs="Calibri"/>
                <w:color w:val="000000"/>
              </w:rPr>
            </w:pPr>
            <w:r>
              <w:rPr>
                <w:rFonts w:ascii="Calibri" w:hAnsi="Calibri" w:cs="Calibri"/>
                <w:color w:val="000000"/>
              </w:rPr>
              <w:t>6767.6</w:t>
            </w:r>
          </w:p>
        </w:tc>
      </w:tr>
    </w:tbl>
    <w:p w14:paraId="66BE231C" w14:textId="77777777" w:rsidR="00420ED8" w:rsidRDefault="00420ED8" w:rsidP="00420ED8"/>
    <w:p w14:paraId="2755DF09" w14:textId="77777777" w:rsidR="00420ED8" w:rsidRDefault="00420ED8" w:rsidP="00420ED8">
      <w:pPr>
        <w:pStyle w:val="Heading2"/>
      </w:pPr>
      <w:r>
        <w:t>2.3 Priority Groups</w:t>
      </w:r>
    </w:p>
    <w:p w14:paraId="245A2B65" w14:textId="77777777" w:rsidR="00420ED8" w:rsidRDefault="00420ED8" w:rsidP="00420ED8">
      <w:pPr>
        <w:pStyle w:val="Heading2"/>
        <w:rPr>
          <w:lang w:val="mi-NZ"/>
        </w:rPr>
      </w:pPr>
      <w:r>
        <w:t>2.3.1 M</w:t>
      </w:r>
      <w:r>
        <w:rPr>
          <w:lang w:val="mi-NZ"/>
        </w:rPr>
        <w:t>āori</w:t>
      </w:r>
    </w:p>
    <w:p w14:paraId="323F9457" w14:textId="2460BC90" w:rsidR="00420ED8" w:rsidRDefault="00420ED8" w:rsidP="00420ED8">
      <w:pPr>
        <w:rPr>
          <w:noProof/>
          <w:lang w:eastAsia="en-NZ"/>
        </w:rPr>
        <w:sectPr w:rsidR="00420ED8" w:rsidSect="003100EE">
          <w:pgSz w:w="11906" w:h="16838"/>
          <w:pgMar w:top="1440" w:right="1440" w:bottom="1440" w:left="1440" w:header="708" w:footer="708" w:gutter="0"/>
          <w:cols w:space="708"/>
          <w:docGrid w:linePitch="360"/>
        </w:sectPr>
      </w:pPr>
      <w:r>
        <w:rPr>
          <w:noProof/>
          <w:lang w:eastAsia="en-NZ"/>
        </w:rPr>
        <w:t xml:space="preserve">The variance between the QCR  of </w:t>
      </w:r>
      <w:r>
        <w:t xml:space="preserve">Māori and non-Māori students has </w:t>
      </w:r>
      <w:r w:rsidR="00082BE3">
        <w:t>decreased</w:t>
      </w:r>
      <w:r>
        <w:t xml:space="preserve"> by 3.2% (11.6% in 2017 and 8.4% in 2018)</w:t>
      </w:r>
      <w:r>
        <w:rPr>
          <w:noProof/>
          <w:lang w:eastAsia="en-NZ"/>
        </w:rPr>
        <w:t xml:space="preserve">, it was lower than ITP Sector average of  4.1% and MIT (2.1%) but higher then AUT (8.5%) and the </w:t>
      </w:r>
      <w:r>
        <w:t>University of Auckland (11.1%).</w:t>
      </w:r>
      <w:r w:rsidR="00082BE3">
        <w:t xml:space="preserve"> However, this decreased variance is due to poorer performance by non-Māori rather than   an increase in Māori  outcomes.</w:t>
      </w:r>
    </w:p>
    <w:p w14:paraId="4C2A8E7E" w14:textId="77777777" w:rsidR="00420ED8" w:rsidRDefault="00420ED8" w:rsidP="00420ED8">
      <w:pPr>
        <w:rPr>
          <w:noProof/>
          <w:lang w:eastAsia="en-NZ"/>
        </w:rPr>
      </w:pPr>
      <w:r w:rsidRPr="00632BAA">
        <w:rPr>
          <w:noProof/>
          <w:lang w:eastAsia="en-NZ"/>
        </w:rPr>
        <w:lastRenderedPageBreak/>
        <w:drawing>
          <wp:inline distT="0" distB="0" distL="0" distR="0" wp14:anchorId="7A9E432E" wp14:editId="24844462">
            <wp:extent cx="2495550" cy="2011680"/>
            <wp:effectExtent l="0" t="0" r="0"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A95D27" w14:textId="77777777" w:rsidR="00420ED8" w:rsidRDefault="00420ED8" w:rsidP="00420ED8">
      <w:pPr>
        <w:rPr>
          <w:noProof/>
          <w:lang w:eastAsia="en-NZ"/>
        </w:rPr>
      </w:pPr>
    </w:p>
    <w:tbl>
      <w:tblPr>
        <w:tblW w:w="3336" w:type="dxa"/>
        <w:tblCellMar>
          <w:left w:w="0" w:type="dxa"/>
          <w:right w:w="0" w:type="dxa"/>
        </w:tblCellMar>
        <w:tblLook w:val="0420" w:firstRow="1" w:lastRow="0" w:firstColumn="0" w:lastColumn="0" w:noHBand="0" w:noVBand="1"/>
      </w:tblPr>
      <w:tblGrid>
        <w:gridCol w:w="1104"/>
        <w:gridCol w:w="690"/>
        <w:gridCol w:w="690"/>
        <w:gridCol w:w="871"/>
      </w:tblGrid>
      <w:tr w:rsidR="00420ED8" w:rsidRPr="00632BAA" w14:paraId="00460EF3" w14:textId="77777777" w:rsidTr="00C41D8F">
        <w:trPr>
          <w:trHeight w:val="340"/>
        </w:trPr>
        <w:tc>
          <w:tcPr>
            <w:tcW w:w="109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76771CA" w14:textId="77777777" w:rsidR="00420ED8" w:rsidRPr="00632BAA" w:rsidRDefault="00420ED8" w:rsidP="00EA2B54">
            <w:pPr>
              <w:spacing w:after="0" w:line="240" w:lineRule="auto"/>
              <w:jc w:val="center"/>
              <w:rPr>
                <w:rFonts w:ascii="Arial" w:eastAsia="Times New Roman" w:hAnsi="Arial" w:cs="Arial"/>
                <w:sz w:val="36"/>
                <w:szCs w:val="36"/>
                <w:lang w:eastAsia="zh-CN"/>
              </w:rPr>
            </w:pPr>
            <w:r w:rsidRPr="00632BAA">
              <w:rPr>
                <w:rFonts w:ascii="Calibri" w:eastAsia="Times New Roman" w:hAnsi="Calibri" w:cs="Calibri"/>
                <w:b/>
                <w:bCs/>
                <w:color w:val="FFFFFF"/>
                <w:kern w:val="24"/>
                <w:sz w:val="16"/>
                <w:szCs w:val="16"/>
                <w:lang w:eastAsia="zh-CN"/>
              </w:rPr>
              <w:lastRenderedPageBreak/>
              <w:t>2017 Benchmarks</w:t>
            </w:r>
          </w:p>
        </w:tc>
        <w:tc>
          <w:tcPr>
            <w:tcW w:w="68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6853D4E" w14:textId="77777777" w:rsidR="00420ED8" w:rsidRPr="00632BAA" w:rsidRDefault="00420ED8" w:rsidP="00EA2B54">
            <w:pPr>
              <w:spacing w:after="0" w:line="240" w:lineRule="auto"/>
              <w:jc w:val="center"/>
              <w:rPr>
                <w:rFonts w:ascii="Arial" w:eastAsia="Times New Roman" w:hAnsi="Arial" w:cs="Arial"/>
                <w:sz w:val="36"/>
                <w:szCs w:val="36"/>
                <w:lang w:eastAsia="zh-CN"/>
              </w:rPr>
            </w:pPr>
            <w:r w:rsidRPr="00632BAA">
              <w:rPr>
                <w:rFonts w:ascii="Calibri" w:eastAsia="Times New Roman" w:hAnsi="Calibri" w:cs="Calibri"/>
                <w:b/>
                <w:bCs/>
                <w:color w:val="FFFFFF"/>
                <w:kern w:val="24"/>
                <w:sz w:val="16"/>
                <w:szCs w:val="16"/>
                <w:lang w:eastAsia="zh-CN"/>
              </w:rPr>
              <w:t>Māori</w:t>
            </w:r>
          </w:p>
        </w:tc>
        <w:tc>
          <w:tcPr>
            <w:tcW w:w="68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08DBAE5" w14:textId="77777777" w:rsidR="00420ED8" w:rsidRPr="00632BAA" w:rsidRDefault="00420ED8" w:rsidP="00EA2B54">
            <w:pPr>
              <w:spacing w:after="0" w:line="240" w:lineRule="auto"/>
              <w:jc w:val="center"/>
              <w:rPr>
                <w:rFonts w:ascii="Arial" w:eastAsia="Times New Roman" w:hAnsi="Arial" w:cs="Arial"/>
                <w:sz w:val="36"/>
                <w:szCs w:val="36"/>
                <w:lang w:eastAsia="zh-CN"/>
              </w:rPr>
            </w:pPr>
            <w:r w:rsidRPr="00632BAA">
              <w:rPr>
                <w:rFonts w:ascii="Calibri" w:eastAsia="Times New Roman" w:hAnsi="Calibri" w:cs="Calibri"/>
                <w:b/>
                <w:bCs/>
                <w:color w:val="FFFFFF"/>
                <w:kern w:val="24"/>
                <w:sz w:val="16"/>
                <w:szCs w:val="16"/>
                <w:lang w:eastAsia="zh-CN"/>
              </w:rPr>
              <w:t>Non-Māori</w:t>
            </w:r>
          </w:p>
        </w:tc>
        <w:tc>
          <w:tcPr>
            <w:tcW w:w="86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847A9B3" w14:textId="77777777" w:rsidR="00420ED8" w:rsidRPr="00632BAA" w:rsidRDefault="00420ED8" w:rsidP="00EA2B54">
            <w:pPr>
              <w:spacing w:after="0" w:line="240" w:lineRule="auto"/>
              <w:jc w:val="center"/>
              <w:rPr>
                <w:rFonts w:ascii="Arial" w:eastAsia="Times New Roman" w:hAnsi="Arial" w:cs="Arial"/>
                <w:sz w:val="36"/>
                <w:szCs w:val="36"/>
                <w:lang w:eastAsia="zh-CN"/>
              </w:rPr>
            </w:pPr>
            <w:r w:rsidRPr="00632BAA">
              <w:rPr>
                <w:rFonts w:ascii="Calibri" w:eastAsia="Times New Roman" w:hAnsi="Calibri" w:cs="Calibri"/>
                <w:b/>
                <w:bCs/>
                <w:color w:val="FFFFFF"/>
                <w:kern w:val="24"/>
                <w:sz w:val="16"/>
                <w:szCs w:val="16"/>
                <w:lang w:eastAsia="zh-CN"/>
              </w:rPr>
              <w:t>Variance</w:t>
            </w:r>
          </w:p>
        </w:tc>
      </w:tr>
      <w:tr w:rsidR="00420ED8" w:rsidRPr="00632BAA" w14:paraId="4378C12F" w14:textId="77777777" w:rsidTr="00C41D8F">
        <w:trPr>
          <w:trHeight w:val="275"/>
        </w:trPr>
        <w:tc>
          <w:tcPr>
            <w:tcW w:w="109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AB8285E" w14:textId="77777777" w:rsidR="00420ED8" w:rsidRPr="00632BAA" w:rsidRDefault="00420ED8" w:rsidP="00EA2B54">
            <w:pPr>
              <w:spacing w:after="0" w:line="240" w:lineRule="auto"/>
              <w:rPr>
                <w:rFonts w:ascii="Arial" w:eastAsia="Times New Roman" w:hAnsi="Arial" w:cs="Arial"/>
                <w:sz w:val="36"/>
                <w:szCs w:val="36"/>
                <w:lang w:eastAsia="zh-CN"/>
              </w:rPr>
            </w:pPr>
            <w:r w:rsidRPr="00632BAA">
              <w:rPr>
                <w:rFonts w:ascii="Calibri" w:eastAsia="Times New Roman" w:hAnsi="Calibri" w:cs="Calibri"/>
                <w:color w:val="000000"/>
                <w:kern w:val="24"/>
                <w:sz w:val="18"/>
                <w:szCs w:val="18"/>
                <w:lang w:eastAsia="zh-CN"/>
              </w:rPr>
              <w:t>Unitec</w:t>
            </w:r>
          </w:p>
        </w:tc>
        <w:tc>
          <w:tcPr>
            <w:tcW w:w="68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25F15872"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color w:val="000000"/>
                <w:kern w:val="24"/>
                <w:sz w:val="20"/>
                <w:szCs w:val="20"/>
                <w:lang w:eastAsia="zh-CN"/>
              </w:rPr>
              <w:t>47.4%</w:t>
            </w:r>
          </w:p>
        </w:tc>
        <w:tc>
          <w:tcPr>
            <w:tcW w:w="68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6DADB6A"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color w:val="000000"/>
                <w:kern w:val="24"/>
                <w:sz w:val="20"/>
                <w:szCs w:val="20"/>
                <w:lang w:eastAsia="zh-CN"/>
              </w:rPr>
              <w:t>59.0%</w:t>
            </w:r>
          </w:p>
        </w:tc>
        <w:tc>
          <w:tcPr>
            <w:tcW w:w="86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5204EB9" w14:textId="77777777" w:rsidR="00420ED8" w:rsidRPr="00632BAA" w:rsidRDefault="00611DF2" w:rsidP="00EA2B54">
            <w:pPr>
              <w:spacing w:after="0" w:line="240" w:lineRule="auto"/>
              <w:jc w:val="center"/>
              <w:textAlignment w:val="bottom"/>
              <w:rPr>
                <w:rFonts w:ascii="Arial" w:eastAsia="Times New Roman" w:hAnsi="Arial" w:cs="Arial"/>
                <w:sz w:val="36"/>
                <w:szCs w:val="36"/>
                <w:lang w:eastAsia="zh-CN"/>
              </w:rPr>
            </w:pPr>
            <w:r>
              <w:rPr>
                <w:rFonts w:ascii="Calibri" w:eastAsia="Times New Roman" w:hAnsi="Calibri" w:cs="Calibri"/>
                <w:color w:val="000000"/>
                <w:kern w:val="24"/>
                <w:sz w:val="20"/>
                <w:szCs w:val="20"/>
                <w:lang w:eastAsia="zh-CN"/>
              </w:rPr>
              <w:t>-</w:t>
            </w:r>
            <w:r w:rsidR="00420ED8" w:rsidRPr="00632BAA">
              <w:rPr>
                <w:rFonts w:ascii="Calibri" w:eastAsia="Times New Roman" w:hAnsi="Calibri" w:cs="Calibri"/>
                <w:color w:val="000000"/>
                <w:kern w:val="24"/>
                <w:sz w:val="20"/>
                <w:szCs w:val="20"/>
                <w:lang w:eastAsia="zh-CN"/>
              </w:rPr>
              <w:t>11.6%</w:t>
            </w:r>
          </w:p>
        </w:tc>
      </w:tr>
      <w:tr w:rsidR="00420ED8" w:rsidRPr="00632BAA" w14:paraId="1D157AE4" w14:textId="77777777" w:rsidTr="00C41D8F">
        <w:trPr>
          <w:trHeight w:val="275"/>
        </w:trPr>
        <w:tc>
          <w:tcPr>
            <w:tcW w:w="10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A9807D6" w14:textId="77777777" w:rsidR="00420ED8" w:rsidRPr="00632BAA" w:rsidRDefault="00420ED8" w:rsidP="00EA2B54">
            <w:pPr>
              <w:spacing w:after="0" w:line="240" w:lineRule="auto"/>
              <w:rPr>
                <w:rFonts w:ascii="Arial" w:eastAsia="Times New Roman" w:hAnsi="Arial" w:cs="Arial"/>
                <w:sz w:val="36"/>
                <w:szCs w:val="36"/>
                <w:lang w:eastAsia="zh-CN"/>
              </w:rPr>
            </w:pPr>
            <w:r w:rsidRPr="00632BAA">
              <w:rPr>
                <w:rFonts w:ascii="Calibri" w:eastAsia="Times New Roman" w:hAnsi="Calibri" w:cs="Calibri"/>
                <w:color w:val="000000"/>
                <w:kern w:val="24"/>
                <w:sz w:val="18"/>
                <w:szCs w:val="18"/>
                <w:lang w:eastAsia="zh-CN"/>
              </w:rPr>
              <w:t>MIT</w:t>
            </w:r>
          </w:p>
        </w:tc>
        <w:tc>
          <w:tcPr>
            <w:tcW w:w="6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5715578"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color w:val="000000"/>
                <w:kern w:val="24"/>
                <w:sz w:val="20"/>
                <w:szCs w:val="20"/>
                <w:lang w:eastAsia="zh-CN"/>
              </w:rPr>
              <w:t>52.5%</w:t>
            </w:r>
          </w:p>
        </w:tc>
        <w:tc>
          <w:tcPr>
            <w:tcW w:w="6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67E87CF6"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color w:val="000000"/>
                <w:kern w:val="24"/>
                <w:sz w:val="20"/>
                <w:szCs w:val="20"/>
                <w:lang w:eastAsia="zh-CN"/>
              </w:rPr>
              <w:t>54.6%</w:t>
            </w:r>
          </w:p>
        </w:tc>
        <w:tc>
          <w:tcPr>
            <w:tcW w:w="8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D0ED530" w14:textId="77777777" w:rsidR="00420ED8" w:rsidRPr="00632BAA" w:rsidRDefault="00611DF2" w:rsidP="00EA2B54">
            <w:pPr>
              <w:spacing w:after="0" w:line="240" w:lineRule="auto"/>
              <w:jc w:val="center"/>
              <w:textAlignment w:val="bottom"/>
              <w:rPr>
                <w:rFonts w:ascii="Arial" w:eastAsia="Times New Roman" w:hAnsi="Arial" w:cs="Arial"/>
                <w:sz w:val="36"/>
                <w:szCs w:val="36"/>
                <w:lang w:eastAsia="zh-CN"/>
              </w:rPr>
            </w:pPr>
            <w:r>
              <w:rPr>
                <w:rFonts w:ascii="Calibri" w:eastAsia="Times New Roman" w:hAnsi="Calibri" w:cs="Calibri"/>
                <w:color w:val="000000"/>
                <w:kern w:val="24"/>
                <w:sz w:val="20"/>
                <w:szCs w:val="20"/>
                <w:lang w:eastAsia="zh-CN"/>
              </w:rPr>
              <w:t>-</w:t>
            </w:r>
            <w:r w:rsidR="00420ED8" w:rsidRPr="00632BAA">
              <w:rPr>
                <w:rFonts w:ascii="Calibri" w:eastAsia="Times New Roman" w:hAnsi="Calibri" w:cs="Calibri"/>
                <w:color w:val="000000"/>
                <w:kern w:val="24"/>
                <w:sz w:val="20"/>
                <w:szCs w:val="20"/>
                <w:lang w:eastAsia="zh-CN"/>
              </w:rPr>
              <w:t>2.1%</w:t>
            </w:r>
          </w:p>
        </w:tc>
      </w:tr>
      <w:tr w:rsidR="00420ED8" w:rsidRPr="00632BAA" w14:paraId="4ADC4D7E" w14:textId="77777777" w:rsidTr="00C41D8F">
        <w:trPr>
          <w:trHeight w:val="275"/>
        </w:trPr>
        <w:tc>
          <w:tcPr>
            <w:tcW w:w="10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C18383F" w14:textId="77777777" w:rsidR="00420ED8" w:rsidRPr="00632BAA" w:rsidRDefault="00420ED8" w:rsidP="00EA2B54">
            <w:pPr>
              <w:spacing w:after="0" w:line="240" w:lineRule="auto"/>
              <w:rPr>
                <w:rFonts w:ascii="Arial" w:eastAsia="Times New Roman" w:hAnsi="Arial" w:cs="Arial"/>
                <w:sz w:val="36"/>
                <w:szCs w:val="36"/>
                <w:lang w:eastAsia="zh-CN"/>
              </w:rPr>
            </w:pPr>
            <w:r w:rsidRPr="00632BAA">
              <w:rPr>
                <w:rFonts w:ascii="Calibri" w:eastAsia="Times New Roman" w:hAnsi="Calibri" w:cs="Calibri"/>
                <w:color w:val="000000"/>
                <w:kern w:val="24"/>
                <w:sz w:val="18"/>
                <w:szCs w:val="18"/>
                <w:lang w:eastAsia="zh-CN"/>
              </w:rPr>
              <w:t>AUT</w:t>
            </w:r>
          </w:p>
        </w:tc>
        <w:tc>
          <w:tcPr>
            <w:tcW w:w="6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2832A44D"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color w:val="000000"/>
                <w:kern w:val="24"/>
                <w:sz w:val="20"/>
                <w:szCs w:val="20"/>
                <w:lang w:eastAsia="zh-CN"/>
              </w:rPr>
              <w:t>56.6%</w:t>
            </w:r>
          </w:p>
        </w:tc>
        <w:tc>
          <w:tcPr>
            <w:tcW w:w="6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9D5E887"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color w:val="000000"/>
                <w:kern w:val="24"/>
                <w:sz w:val="20"/>
                <w:szCs w:val="20"/>
                <w:lang w:eastAsia="zh-CN"/>
              </w:rPr>
              <w:t>65.1%</w:t>
            </w:r>
          </w:p>
        </w:tc>
        <w:tc>
          <w:tcPr>
            <w:tcW w:w="8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E46529E" w14:textId="77777777" w:rsidR="00420ED8" w:rsidRPr="00632BAA" w:rsidRDefault="00611DF2" w:rsidP="00EA2B54">
            <w:pPr>
              <w:spacing w:after="0" w:line="240" w:lineRule="auto"/>
              <w:jc w:val="center"/>
              <w:textAlignment w:val="bottom"/>
              <w:rPr>
                <w:rFonts w:ascii="Arial" w:eastAsia="Times New Roman" w:hAnsi="Arial" w:cs="Arial"/>
                <w:sz w:val="36"/>
                <w:szCs w:val="36"/>
                <w:lang w:eastAsia="zh-CN"/>
              </w:rPr>
            </w:pPr>
            <w:r>
              <w:rPr>
                <w:rFonts w:ascii="Calibri" w:eastAsia="Times New Roman" w:hAnsi="Calibri" w:cs="Calibri"/>
                <w:color w:val="000000"/>
                <w:kern w:val="24"/>
                <w:sz w:val="20"/>
                <w:szCs w:val="20"/>
                <w:lang w:eastAsia="zh-CN"/>
              </w:rPr>
              <w:t>-</w:t>
            </w:r>
            <w:r w:rsidR="00420ED8" w:rsidRPr="00632BAA">
              <w:rPr>
                <w:rFonts w:ascii="Calibri" w:eastAsia="Times New Roman" w:hAnsi="Calibri" w:cs="Calibri"/>
                <w:color w:val="000000"/>
                <w:kern w:val="24"/>
                <w:sz w:val="20"/>
                <w:szCs w:val="20"/>
                <w:lang w:eastAsia="zh-CN"/>
              </w:rPr>
              <w:t>8.5%</w:t>
            </w:r>
          </w:p>
        </w:tc>
      </w:tr>
      <w:tr w:rsidR="00420ED8" w:rsidRPr="00632BAA" w14:paraId="0932214F" w14:textId="77777777" w:rsidTr="00C41D8F">
        <w:trPr>
          <w:trHeight w:val="275"/>
        </w:trPr>
        <w:tc>
          <w:tcPr>
            <w:tcW w:w="10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095A94D" w14:textId="77777777" w:rsidR="00420ED8" w:rsidRPr="00632BAA" w:rsidRDefault="00420ED8" w:rsidP="00EA2B54">
            <w:pPr>
              <w:spacing w:after="0" w:line="240" w:lineRule="auto"/>
              <w:rPr>
                <w:rFonts w:ascii="Arial" w:eastAsia="Times New Roman" w:hAnsi="Arial" w:cs="Arial"/>
                <w:sz w:val="36"/>
                <w:szCs w:val="36"/>
                <w:lang w:eastAsia="zh-CN"/>
              </w:rPr>
            </w:pPr>
            <w:r w:rsidRPr="00632BAA">
              <w:rPr>
                <w:rFonts w:ascii="Calibri" w:eastAsia="Times New Roman" w:hAnsi="Calibri" w:cs="Calibri"/>
                <w:color w:val="000000"/>
                <w:kern w:val="24"/>
                <w:sz w:val="18"/>
                <w:szCs w:val="18"/>
                <w:lang w:eastAsia="zh-CN"/>
              </w:rPr>
              <w:t>University of Auckland</w:t>
            </w:r>
          </w:p>
        </w:tc>
        <w:tc>
          <w:tcPr>
            <w:tcW w:w="6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88CB03D"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color w:val="000000"/>
                <w:kern w:val="24"/>
                <w:sz w:val="20"/>
                <w:szCs w:val="20"/>
                <w:lang w:eastAsia="zh-CN"/>
              </w:rPr>
              <w:t>58.2%</w:t>
            </w:r>
          </w:p>
        </w:tc>
        <w:tc>
          <w:tcPr>
            <w:tcW w:w="6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851CFA8"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color w:val="000000"/>
                <w:kern w:val="24"/>
                <w:sz w:val="20"/>
                <w:szCs w:val="20"/>
                <w:lang w:eastAsia="zh-CN"/>
              </w:rPr>
              <w:t>69.3%</w:t>
            </w:r>
          </w:p>
        </w:tc>
        <w:tc>
          <w:tcPr>
            <w:tcW w:w="8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598278E" w14:textId="77777777" w:rsidR="00420ED8" w:rsidRPr="00632BAA" w:rsidRDefault="00611DF2" w:rsidP="00EA2B54">
            <w:pPr>
              <w:spacing w:after="0" w:line="240" w:lineRule="auto"/>
              <w:jc w:val="center"/>
              <w:textAlignment w:val="bottom"/>
              <w:rPr>
                <w:rFonts w:ascii="Arial" w:eastAsia="Times New Roman" w:hAnsi="Arial" w:cs="Arial"/>
                <w:sz w:val="36"/>
                <w:szCs w:val="36"/>
                <w:lang w:eastAsia="zh-CN"/>
              </w:rPr>
            </w:pPr>
            <w:r>
              <w:rPr>
                <w:rFonts w:ascii="Calibri" w:eastAsia="Times New Roman" w:hAnsi="Calibri" w:cs="Calibri"/>
                <w:color w:val="000000"/>
                <w:kern w:val="24"/>
                <w:sz w:val="20"/>
                <w:szCs w:val="20"/>
                <w:lang w:eastAsia="zh-CN"/>
              </w:rPr>
              <w:t>-</w:t>
            </w:r>
            <w:r w:rsidR="00420ED8" w:rsidRPr="00632BAA">
              <w:rPr>
                <w:rFonts w:ascii="Calibri" w:eastAsia="Times New Roman" w:hAnsi="Calibri" w:cs="Calibri"/>
                <w:color w:val="000000"/>
                <w:kern w:val="24"/>
                <w:sz w:val="20"/>
                <w:szCs w:val="20"/>
                <w:lang w:eastAsia="zh-CN"/>
              </w:rPr>
              <w:t>11.1%</w:t>
            </w:r>
          </w:p>
        </w:tc>
      </w:tr>
      <w:tr w:rsidR="00420ED8" w:rsidRPr="00632BAA" w14:paraId="7721E40D" w14:textId="77777777" w:rsidTr="00C41D8F">
        <w:trPr>
          <w:trHeight w:val="340"/>
        </w:trPr>
        <w:tc>
          <w:tcPr>
            <w:tcW w:w="10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3347DB2" w14:textId="77777777" w:rsidR="00420ED8" w:rsidRPr="00632BAA" w:rsidRDefault="00420ED8" w:rsidP="00EA2B54">
            <w:pPr>
              <w:spacing w:after="0" w:line="240" w:lineRule="auto"/>
              <w:rPr>
                <w:rFonts w:ascii="Arial" w:eastAsia="Times New Roman" w:hAnsi="Arial" w:cs="Arial"/>
                <w:sz w:val="36"/>
                <w:szCs w:val="36"/>
                <w:lang w:eastAsia="zh-CN"/>
              </w:rPr>
            </w:pPr>
            <w:r w:rsidRPr="00632BAA">
              <w:rPr>
                <w:rFonts w:ascii="Calibri" w:eastAsia="Times New Roman" w:hAnsi="Calibri" w:cs="Calibri"/>
                <w:color w:val="000000"/>
                <w:kern w:val="24"/>
                <w:sz w:val="18"/>
                <w:szCs w:val="18"/>
                <w:lang w:eastAsia="zh-CN"/>
              </w:rPr>
              <w:t>ITP Sector</w:t>
            </w:r>
          </w:p>
        </w:tc>
        <w:tc>
          <w:tcPr>
            <w:tcW w:w="6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6FC6FB60"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color w:val="000000"/>
                <w:kern w:val="24"/>
                <w:sz w:val="20"/>
                <w:szCs w:val="20"/>
                <w:lang w:eastAsia="zh-CN"/>
              </w:rPr>
              <w:t>49.6%</w:t>
            </w:r>
          </w:p>
        </w:tc>
        <w:tc>
          <w:tcPr>
            <w:tcW w:w="6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FA69500"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color w:val="000000"/>
                <w:kern w:val="24"/>
                <w:sz w:val="20"/>
                <w:szCs w:val="20"/>
                <w:lang w:eastAsia="zh-CN"/>
              </w:rPr>
              <w:t>53.7%</w:t>
            </w:r>
          </w:p>
        </w:tc>
        <w:tc>
          <w:tcPr>
            <w:tcW w:w="8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4AEF60A" w14:textId="77777777" w:rsidR="00420ED8" w:rsidRPr="00632BAA" w:rsidRDefault="00611DF2" w:rsidP="00EA2B54">
            <w:pPr>
              <w:spacing w:after="0" w:line="240" w:lineRule="auto"/>
              <w:jc w:val="center"/>
              <w:textAlignment w:val="bottom"/>
              <w:rPr>
                <w:rFonts w:ascii="Arial" w:eastAsia="Times New Roman" w:hAnsi="Arial" w:cs="Arial"/>
                <w:sz w:val="36"/>
                <w:szCs w:val="36"/>
                <w:lang w:eastAsia="zh-CN"/>
              </w:rPr>
            </w:pPr>
            <w:r>
              <w:rPr>
                <w:rFonts w:ascii="Calibri" w:eastAsia="Times New Roman" w:hAnsi="Calibri" w:cs="Calibri"/>
                <w:color w:val="000000"/>
                <w:kern w:val="24"/>
                <w:sz w:val="20"/>
                <w:szCs w:val="20"/>
                <w:lang w:eastAsia="zh-CN"/>
              </w:rPr>
              <w:t>-</w:t>
            </w:r>
            <w:r w:rsidR="00420ED8" w:rsidRPr="00632BAA">
              <w:rPr>
                <w:rFonts w:ascii="Calibri" w:eastAsia="Times New Roman" w:hAnsi="Calibri" w:cs="Calibri"/>
                <w:color w:val="000000"/>
                <w:kern w:val="24"/>
                <w:sz w:val="20"/>
                <w:szCs w:val="20"/>
                <w:lang w:eastAsia="zh-CN"/>
              </w:rPr>
              <w:t>4.1%</w:t>
            </w:r>
          </w:p>
        </w:tc>
      </w:tr>
    </w:tbl>
    <w:p w14:paraId="6A36C1D4" w14:textId="77777777" w:rsidR="00420ED8" w:rsidRDefault="00420ED8" w:rsidP="00420ED8">
      <w:pPr>
        <w:rPr>
          <w:noProof/>
          <w:lang w:eastAsia="en-NZ"/>
        </w:rPr>
      </w:pPr>
    </w:p>
    <w:p w14:paraId="51B6CCA3" w14:textId="77777777" w:rsidR="00420ED8" w:rsidRDefault="00420ED8" w:rsidP="00420ED8">
      <w:pPr>
        <w:sectPr w:rsidR="00420ED8" w:rsidSect="003100EE">
          <w:type w:val="continuous"/>
          <w:pgSz w:w="11906" w:h="16838"/>
          <w:pgMar w:top="1440" w:right="1440" w:bottom="1440" w:left="1440" w:header="708" w:footer="708" w:gutter="0"/>
          <w:cols w:num="2" w:space="708"/>
          <w:docGrid w:linePitch="360"/>
        </w:sectPr>
      </w:pPr>
    </w:p>
    <w:p w14:paraId="6CD57542" w14:textId="77777777" w:rsidR="00420ED8" w:rsidRDefault="00420ED8" w:rsidP="00420ED8">
      <w:pPr>
        <w:pStyle w:val="Heading2"/>
      </w:pPr>
      <w:r>
        <w:lastRenderedPageBreak/>
        <w:t>2.3.2 Pacific</w:t>
      </w:r>
    </w:p>
    <w:p w14:paraId="54006255" w14:textId="77777777" w:rsidR="00420ED8" w:rsidRDefault="00420ED8" w:rsidP="00420ED8">
      <w:r>
        <w:t>The below graph shows that the variance between Pacific and non-Pacific students was consistent across 2013 – 2017 but there was a sharp increase from 2017 (</w:t>
      </w:r>
      <w:r w:rsidR="00611DF2">
        <w:t>-</w:t>
      </w:r>
      <w:r>
        <w:t>6.9%) to 2018 (</w:t>
      </w:r>
      <w:r w:rsidR="00611DF2">
        <w:t>-</w:t>
      </w:r>
      <w:r>
        <w:t xml:space="preserve">16.4%). This was higher than the 2017 ITP Sector average variance of </w:t>
      </w:r>
      <w:r w:rsidR="00611DF2">
        <w:t>-</w:t>
      </w:r>
      <w:r>
        <w:t xml:space="preserve">1.8% and the MIT variance of </w:t>
      </w:r>
      <w:r w:rsidR="00611DF2">
        <w:t>-</w:t>
      </w:r>
      <w:r>
        <w:t xml:space="preserve">3.2%. Although Unitec still outperforms the University of Auckland and AUT which has a variance in 2017 of </w:t>
      </w:r>
      <w:r w:rsidR="00611DF2">
        <w:t>-</w:t>
      </w:r>
      <w:r>
        <w:t xml:space="preserve">16.8% and </w:t>
      </w:r>
      <w:r w:rsidR="00611DF2">
        <w:t>-</w:t>
      </w:r>
      <w:r>
        <w:t>18.2% respectively, this increase from 2017-2018 and the gap between Unitec and other polytechnics is cause for concern.</w:t>
      </w:r>
    </w:p>
    <w:p w14:paraId="2DC92C60" w14:textId="77777777" w:rsidR="00420ED8" w:rsidRDefault="00420ED8" w:rsidP="00420ED8">
      <w:pPr>
        <w:sectPr w:rsidR="00420ED8" w:rsidSect="003100EE">
          <w:type w:val="continuous"/>
          <w:pgSz w:w="11906" w:h="16838"/>
          <w:pgMar w:top="1440" w:right="1440" w:bottom="1440" w:left="1440" w:header="708" w:footer="708" w:gutter="0"/>
          <w:cols w:space="708"/>
          <w:docGrid w:linePitch="360"/>
        </w:sectPr>
      </w:pPr>
    </w:p>
    <w:p w14:paraId="19B81C05" w14:textId="77777777" w:rsidR="00420ED8" w:rsidRDefault="00420ED8" w:rsidP="00420ED8">
      <w:pPr>
        <w:rPr>
          <w:b/>
          <w:bCs/>
        </w:rPr>
      </w:pPr>
      <w:r w:rsidRPr="00632BAA">
        <w:rPr>
          <w:noProof/>
          <w:lang w:eastAsia="en-NZ"/>
        </w:rPr>
        <w:lastRenderedPageBreak/>
        <w:drawing>
          <wp:inline distT="0" distB="0" distL="0" distR="0" wp14:anchorId="01402312" wp14:editId="148E1740">
            <wp:extent cx="2845613" cy="1857375"/>
            <wp:effectExtent l="0" t="0" r="1206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 xml:space="preserve"> </w:t>
      </w:r>
    </w:p>
    <w:tbl>
      <w:tblPr>
        <w:tblW w:w="4101" w:type="dxa"/>
        <w:tblCellMar>
          <w:left w:w="0" w:type="dxa"/>
          <w:right w:w="0" w:type="dxa"/>
        </w:tblCellMar>
        <w:tblLook w:val="0420" w:firstRow="1" w:lastRow="0" w:firstColumn="0" w:lastColumn="0" w:noHBand="0" w:noVBand="1"/>
      </w:tblPr>
      <w:tblGrid>
        <w:gridCol w:w="1408"/>
        <w:gridCol w:w="675"/>
        <w:gridCol w:w="1168"/>
        <w:gridCol w:w="850"/>
      </w:tblGrid>
      <w:tr w:rsidR="00420ED8" w:rsidRPr="00632BAA" w14:paraId="28F5A121" w14:textId="77777777" w:rsidTr="00E968FC">
        <w:trPr>
          <w:trHeight w:val="115"/>
        </w:trPr>
        <w:tc>
          <w:tcPr>
            <w:tcW w:w="140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4717A7AF" w14:textId="77777777" w:rsidR="00420ED8" w:rsidRPr="00632BAA" w:rsidRDefault="00420ED8" w:rsidP="00EA2B54">
            <w:pPr>
              <w:spacing w:after="0" w:line="240" w:lineRule="auto"/>
              <w:jc w:val="center"/>
              <w:rPr>
                <w:rFonts w:ascii="Arial" w:eastAsia="Times New Roman" w:hAnsi="Arial" w:cs="Arial"/>
                <w:sz w:val="36"/>
                <w:szCs w:val="36"/>
                <w:lang w:eastAsia="zh-CN"/>
              </w:rPr>
            </w:pPr>
            <w:r w:rsidRPr="00632BAA">
              <w:rPr>
                <w:rFonts w:ascii="Calibri" w:eastAsia="Times New Roman" w:hAnsi="Calibri" w:cs="Calibri"/>
                <w:b/>
                <w:bCs/>
                <w:color w:val="FFFFFF"/>
                <w:kern w:val="24"/>
                <w:sz w:val="16"/>
                <w:szCs w:val="16"/>
                <w:lang w:eastAsia="zh-CN"/>
              </w:rPr>
              <w:lastRenderedPageBreak/>
              <w:t>2017 Benchmarks</w:t>
            </w:r>
          </w:p>
        </w:tc>
        <w:tc>
          <w:tcPr>
            <w:tcW w:w="67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7188C36E"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b/>
                <w:bCs/>
                <w:color w:val="FFFFFF"/>
                <w:kern w:val="24"/>
                <w:sz w:val="16"/>
                <w:szCs w:val="16"/>
                <w:lang w:eastAsia="zh-CN"/>
              </w:rPr>
              <w:t>Pacific</w:t>
            </w:r>
          </w:p>
        </w:tc>
        <w:tc>
          <w:tcPr>
            <w:tcW w:w="116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26BE5184"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b/>
                <w:bCs/>
                <w:color w:val="FFFFFF"/>
                <w:kern w:val="24"/>
                <w:sz w:val="16"/>
                <w:szCs w:val="16"/>
                <w:lang w:eastAsia="zh-CN"/>
              </w:rPr>
              <w:t>Non-Pacific</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6E4A06D9" w14:textId="77777777" w:rsidR="00420ED8" w:rsidRPr="00632BAA" w:rsidRDefault="00420ED8" w:rsidP="00EA2B54">
            <w:pPr>
              <w:spacing w:after="0" w:line="240" w:lineRule="auto"/>
              <w:jc w:val="center"/>
              <w:textAlignment w:val="bottom"/>
              <w:rPr>
                <w:rFonts w:ascii="Arial" w:eastAsia="Times New Roman" w:hAnsi="Arial" w:cs="Arial"/>
                <w:sz w:val="36"/>
                <w:szCs w:val="36"/>
                <w:lang w:eastAsia="zh-CN"/>
              </w:rPr>
            </w:pPr>
            <w:r w:rsidRPr="00632BAA">
              <w:rPr>
                <w:rFonts w:ascii="Calibri" w:eastAsia="Times New Roman" w:hAnsi="Calibri" w:cs="Calibri"/>
                <w:b/>
                <w:bCs/>
                <w:color w:val="FFFFFF"/>
                <w:kern w:val="24"/>
                <w:sz w:val="16"/>
                <w:szCs w:val="16"/>
                <w:lang w:eastAsia="zh-CN"/>
              </w:rPr>
              <w:t>variance</w:t>
            </w:r>
          </w:p>
        </w:tc>
      </w:tr>
      <w:tr w:rsidR="00420ED8" w:rsidRPr="00632BAA" w14:paraId="767FADA0" w14:textId="77777777" w:rsidTr="00E968FC">
        <w:trPr>
          <w:trHeight w:val="93"/>
        </w:trPr>
        <w:tc>
          <w:tcPr>
            <w:tcW w:w="140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3330D9" w14:textId="77777777" w:rsidR="00420ED8" w:rsidRPr="0075376A" w:rsidRDefault="00420ED8" w:rsidP="00EA2B54">
            <w:pPr>
              <w:spacing w:after="0" w:line="240" w:lineRule="auto"/>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Unitec</w:t>
            </w:r>
          </w:p>
        </w:tc>
        <w:tc>
          <w:tcPr>
            <w:tcW w:w="67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0E5E813" w14:textId="77777777" w:rsidR="00420ED8" w:rsidRPr="0075376A" w:rsidRDefault="00420ED8" w:rsidP="00EA2B54">
            <w:pPr>
              <w:spacing w:after="0" w:line="240" w:lineRule="auto"/>
              <w:jc w:val="center"/>
              <w:textAlignment w:val="bottom"/>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52.0%</w:t>
            </w:r>
          </w:p>
        </w:tc>
        <w:tc>
          <w:tcPr>
            <w:tcW w:w="116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F04E276" w14:textId="77777777" w:rsidR="00420ED8" w:rsidRPr="0075376A" w:rsidRDefault="00420ED8" w:rsidP="00EA2B54">
            <w:pPr>
              <w:spacing w:after="0" w:line="240" w:lineRule="auto"/>
              <w:jc w:val="center"/>
              <w:textAlignment w:val="bottom"/>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58.9%</w:t>
            </w:r>
          </w:p>
        </w:tc>
        <w:tc>
          <w:tcPr>
            <w:tcW w:w="85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970C698" w14:textId="77777777" w:rsidR="00420ED8" w:rsidRPr="0075376A" w:rsidRDefault="00611DF2" w:rsidP="00EA2B54">
            <w:pPr>
              <w:spacing w:after="0" w:line="240" w:lineRule="auto"/>
              <w:jc w:val="center"/>
              <w:textAlignment w:val="bottom"/>
              <w:rPr>
                <w:rFonts w:ascii="Arial" w:eastAsia="Times New Roman" w:hAnsi="Arial" w:cs="Arial"/>
                <w:sz w:val="20"/>
                <w:szCs w:val="20"/>
                <w:lang w:eastAsia="zh-CN"/>
              </w:rPr>
            </w:pPr>
            <w:r>
              <w:rPr>
                <w:rFonts w:ascii="Calibri" w:eastAsia="Times New Roman" w:hAnsi="Calibri" w:cs="Calibri"/>
                <w:color w:val="000000"/>
                <w:kern w:val="24"/>
                <w:sz w:val="20"/>
                <w:szCs w:val="20"/>
                <w:lang w:eastAsia="zh-CN"/>
              </w:rPr>
              <w:t>-</w:t>
            </w:r>
            <w:r w:rsidR="00420ED8" w:rsidRPr="0075376A">
              <w:rPr>
                <w:rFonts w:ascii="Calibri" w:eastAsia="Times New Roman" w:hAnsi="Calibri" w:cs="Calibri"/>
                <w:color w:val="000000"/>
                <w:kern w:val="24"/>
                <w:sz w:val="20"/>
                <w:szCs w:val="20"/>
                <w:lang w:eastAsia="zh-CN"/>
              </w:rPr>
              <w:t>6.9%</w:t>
            </w:r>
          </w:p>
        </w:tc>
      </w:tr>
      <w:tr w:rsidR="00420ED8" w:rsidRPr="00632BAA" w14:paraId="369C334B" w14:textId="77777777" w:rsidTr="00E968FC">
        <w:trPr>
          <w:trHeight w:val="93"/>
        </w:trPr>
        <w:tc>
          <w:tcPr>
            <w:tcW w:w="14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B34CF6F" w14:textId="77777777" w:rsidR="00420ED8" w:rsidRPr="0075376A" w:rsidRDefault="00420ED8" w:rsidP="00EA2B54">
            <w:pPr>
              <w:spacing w:after="0" w:line="240" w:lineRule="auto"/>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MIT</w:t>
            </w:r>
          </w:p>
        </w:tc>
        <w:tc>
          <w:tcPr>
            <w:tcW w:w="6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40695FD" w14:textId="77777777" w:rsidR="00420ED8" w:rsidRPr="0075376A" w:rsidRDefault="00420ED8" w:rsidP="00EA2B54">
            <w:pPr>
              <w:spacing w:after="0" w:line="240" w:lineRule="auto"/>
              <w:jc w:val="center"/>
              <w:textAlignment w:val="bottom"/>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51.9%</w:t>
            </w:r>
          </w:p>
        </w:tc>
        <w:tc>
          <w:tcPr>
            <w:tcW w:w="11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BB4DB63" w14:textId="77777777" w:rsidR="00420ED8" w:rsidRPr="0075376A" w:rsidRDefault="00420ED8" w:rsidP="00EA2B54">
            <w:pPr>
              <w:spacing w:after="0" w:line="240" w:lineRule="auto"/>
              <w:jc w:val="center"/>
              <w:textAlignment w:val="bottom"/>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55.1%</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4511B97" w14:textId="77777777" w:rsidR="00420ED8" w:rsidRPr="0075376A" w:rsidRDefault="00611DF2" w:rsidP="00EA2B54">
            <w:pPr>
              <w:spacing w:after="0" w:line="240" w:lineRule="auto"/>
              <w:jc w:val="center"/>
              <w:textAlignment w:val="bottom"/>
              <w:rPr>
                <w:rFonts w:ascii="Arial" w:eastAsia="Times New Roman" w:hAnsi="Arial" w:cs="Arial"/>
                <w:sz w:val="20"/>
                <w:szCs w:val="20"/>
                <w:lang w:eastAsia="zh-CN"/>
              </w:rPr>
            </w:pPr>
            <w:r>
              <w:rPr>
                <w:rFonts w:ascii="Calibri" w:eastAsia="Times New Roman" w:hAnsi="Calibri" w:cs="Calibri"/>
                <w:color w:val="000000"/>
                <w:kern w:val="24"/>
                <w:sz w:val="20"/>
                <w:szCs w:val="20"/>
                <w:lang w:eastAsia="zh-CN"/>
              </w:rPr>
              <w:t>-</w:t>
            </w:r>
            <w:r w:rsidR="00420ED8" w:rsidRPr="0075376A">
              <w:rPr>
                <w:rFonts w:ascii="Calibri" w:eastAsia="Times New Roman" w:hAnsi="Calibri" w:cs="Calibri"/>
                <w:color w:val="000000"/>
                <w:kern w:val="24"/>
                <w:sz w:val="20"/>
                <w:szCs w:val="20"/>
                <w:lang w:eastAsia="zh-CN"/>
              </w:rPr>
              <w:t>3.2%</w:t>
            </w:r>
          </w:p>
        </w:tc>
      </w:tr>
      <w:tr w:rsidR="00420ED8" w:rsidRPr="00632BAA" w14:paraId="6BB6C1C4" w14:textId="77777777" w:rsidTr="00E968FC">
        <w:trPr>
          <w:trHeight w:val="93"/>
        </w:trPr>
        <w:tc>
          <w:tcPr>
            <w:tcW w:w="14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1688A02" w14:textId="77777777" w:rsidR="00420ED8" w:rsidRPr="0075376A" w:rsidRDefault="00420ED8" w:rsidP="00EA2B54">
            <w:pPr>
              <w:spacing w:after="0" w:line="240" w:lineRule="auto"/>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AUT</w:t>
            </w:r>
          </w:p>
        </w:tc>
        <w:tc>
          <w:tcPr>
            <w:tcW w:w="67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2832653" w14:textId="77777777" w:rsidR="00420ED8" w:rsidRPr="0075376A" w:rsidRDefault="00420ED8" w:rsidP="00EA2B54">
            <w:pPr>
              <w:spacing w:after="0" w:line="240" w:lineRule="auto"/>
              <w:jc w:val="center"/>
              <w:textAlignment w:val="bottom"/>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48.1%</w:t>
            </w:r>
          </w:p>
        </w:tc>
        <w:tc>
          <w:tcPr>
            <w:tcW w:w="116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C620F73" w14:textId="77777777" w:rsidR="00420ED8" w:rsidRPr="0075376A" w:rsidRDefault="00420ED8" w:rsidP="00EA2B54">
            <w:pPr>
              <w:spacing w:after="0" w:line="240" w:lineRule="auto"/>
              <w:jc w:val="center"/>
              <w:textAlignment w:val="bottom"/>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66.3%</w:t>
            </w: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8F78BB1" w14:textId="77777777" w:rsidR="00420ED8" w:rsidRPr="0075376A" w:rsidRDefault="00611DF2" w:rsidP="00EA2B54">
            <w:pPr>
              <w:spacing w:after="0" w:line="240" w:lineRule="auto"/>
              <w:jc w:val="center"/>
              <w:textAlignment w:val="bottom"/>
              <w:rPr>
                <w:rFonts w:ascii="Arial" w:eastAsia="Times New Roman" w:hAnsi="Arial" w:cs="Arial"/>
                <w:sz w:val="20"/>
                <w:szCs w:val="20"/>
                <w:lang w:eastAsia="zh-CN"/>
              </w:rPr>
            </w:pPr>
            <w:r>
              <w:rPr>
                <w:rFonts w:ascii="Calibri" w:eastAsia="Times New Roman" w:hAnsi="Calibri" w:cs="Calibri"/>
                <w:color w:val="000000"/>
                <w:kern w:val="24"/>
                <w:sz w:val="20"/>
                <w:szCs w:val="20"/>
                <w:lang w:eastAsia="zh-CN"/>
              </w:rPr>
              <w:t>-</w:t>
            </w:r>
            <w:r w:rsidR="00420ED8" w:rsidRPr="0075376A">
              <w:rPr>
                <w:rFonts w:ascii="Calibri" w:eastAsia="Times New Roman" w:hAnsi="Calibri" w:cs="Calibri"/>
                <w:color w:val="000000"/>
                <w:kern w:val="24"/>
                <w:sz w:val="20"/>
                <w:szCs w:val="20"/>
                <w:lang w:eastAsia="zh-CN"/>
              </w:rPr>
              <w:t>18.2%</w:t>
            </w:r>
          </w:p>
        </w:tc>
      </w:tr>
      <w:tr w:rsidR="00420ED8" w:rsidRPr="00632BAA" w14:paraId="5A01266A" w14:textId="77777777" w:rsidTr="00E968FC">
        <w:trPr>
          <w:trHeight w:val="93"/>
        </w:trPr>
        <w:tc>
          <w:tcPr>
            <w:tcW w:w="14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D346C72" w14:textId="77777777" w:rsidR="00420ED8" w:rsidRPr="0075376A" w:rsidRDefault="00420ED8" w:rsidP="00EA2B54">
            <w:pPr>
              <w:spacing w:after="0" w:line="240" w:lineRule="auto"/>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University of Auckland</w:t>
            </w:r>
          </w:p>
        </w:tc>
        <w:tc>
          <w:tcPr>
            <w:tcW w:w="6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F312F26" w14:textId="77777777" w:rsidR="00420ED8" w:rsidRPr="0075376A" w:rsidRDefault="00420ED8" w:rsidP="00EA2B54">
            <w:pPr>
              <w:spacing w:after="0" w:line="240" w:lineRule="auto"/>
              <w:jc w:val="center"/>
              <w:textAlignment w:val="bottom"/>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53.3%</w:t>
            </w:r>
          </w:p>
        </w:tc>
        <w:tc>
          <w:tcPr>
            <w:tcW w:w="11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CEAA78F" w14:textId="77777777" w:rsidR="00420ED8" w:rsidRPr="0075376A" w:rsidRDefault="00420ED8" w:rsidP="00EA2B54">
            <w:pPr>
              <w:spacing w:after="0" w:line="240" w:lineRule="auto"/>
              <w:jc w:val="center"/>
              <w:textAlignment w:val="bottom"/>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70.1%</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12B023A" w14:textId="77777777" w:rsidR="00420ED8" w:rsidRPr="0075376A" w:rsidRDefault="00611DF2" w:rsidP="00EA2B54">
            <w:pPr>
              <w:spacing w:after="0" w:line="240" w:lineRule="auto"/>
              <w:jc w:val="center"/>
              <w:textAlignment w:val="bottom"/>
              <w:rPr>
                <w:rFonts w:ascii="Arial" w:eastAsia="Times New Roman" w:hAnsi="Arial" w:cs="Arial"/>
                <w:sz w:val="20"/>
                <w:szCs w:val="20"/>
                <w:lang w:eastAsia="zh-CN"/>
              </w:rPr>
            </w:pPr>
            <w:r>
              <w:rPr>
                <w:rFonts w:ascii="Calibri" w:eastAsia="Times New Roman" w:hAnsi="Calibri" w:cs="Calibri"/>
                <w:color w:val="000000"/>
                <w:kern w:val="24"/>
                <w:sz w:val="20"/>
                <w:szCs w:val="20"/>
                <w:lang w:eastAsia="zh-CN"/>
              </w:rPr>
              <w:t>-</w:t>
            </w:r>
            <w:r w:rsidR="00420ED8" w:rsidRPr="0075376A">
              <w:rPr>
                <w:rFonts w:ascii="Calibri" w:eastAsia="Times New Roman" w:hAnsi="Calibri" w:cs="Calibri"/>
                <w:color w:val="000000"/>
                <w:kern w:val="24"/>
                <w:sz w:val="20"/>
                <w:szCs w:val="20"/>
                <w:lang w:eastAsia="zh-CN"/>
              </w:rPr>
              <w:t>16.8%</w:t>
            </w:r>
          </w:p>
        </w:tc>
      </w:tr>
      <w:tr w:rsidR="00420ED8" w:rsidRPr="00632BAA" w14:paraId="607A5192" w14:textId="77777777" w:rsidTr="00E968FC">
        <w:trPr>
          <w:trHeight w:val="20"/>
        </w:trPr>
        <w:tc>
          <w:tcPr>
            <w:tcW w:w="14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92B84F3" w14:textId="77777777" w:rsidR="00420ED8" w:rsidRPr="0075376A" w:rsidRDefault="00420ED8" w:rsidP="00EA2B54">
            <w:pPr>
              <w:spacing w:after="0" w:line="240" w:lineRule="auto"/>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ITP Sector</w:t>
            </w:r>
          </w:p>
        </w:tc>
        <w:tc>
          <w:tcPr>
            <w:tcW w:w="67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5985351" w14:textId="77777777" w:rsidR="00420ED8" w:rsidRPr="0075376A" w:rsidRDefault="00420ED8" w:rsidP="00EA2B54">
            <w:pPr>
              <w:spacing w:after="0" w:line="240" w:lineRule="auto"/>
              <w:jc w:val="center"/>
              <w:textAlignment w:val="bottom"/>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51.3%</w:t>
            </w:r>
          </w:p>
        </w:tc>
        <w:tc>
          <w:tcPr>
            <w:tcW w:w="116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FC119C7" w14:textId="77777777" w:rsidR="00420ED8" w:rsidRPr="0075376A" w:rsidRDefault="00420ED8" w:rsidP="00EA2B54">
            <w:pPr>
              <w:spacing w:after="0" w:line="240" w:lineRule="auto"/>
              <w:jc w:val="center"/>
              <w:textAlignment w:val="bottom"/>
              <w:rPr>
                <w:rFonts w:ascii="Arial" w:eastAsia="Times New Roman" w:hAnsi="Arial" w:cs="Arial"/>
                <w:sz w:val="20"/>
                <w:szCs w:val="20"/>
                <w:lang w:eastAsia="zh-CN"/>
              </w:rPr>
            </w:pPr>
            <w:r w:rsidRPr="0075376A">
              <w:rPr>
                <w:rFonts w:ascii="Calibri" w:eastAsia="Times New Roman" w:hAnsi="Calibri" w:cs="Calibri"/>
                <w:color w:val="000000"/>
                <w:kern w:val="24"/>
                <w:sz w:val="20"/>
                <w:szCs w:val="20"/>
                <w:lang w:eastAsia="zh-CN"/>
              </w:rPr>
              <w:t>53.1%</w:t>
            </w: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E06A87A" w14:textId="77777777" w:rsidR="00420ED8" w:rsidRPr="0075376A" w:rsidRDefault="00611DF2" w:rsidP="00EA2B54">
            <w:pPr>
              <w:spacing w:after="0" w:line="240" w:lineRule="auto"/>
              <w:jc w:val="center"/>
              <w:textAlignment w:val="bottom"/>
              <w:rPr>
                <w:rFonts w:ascii="Arial" w:eastAsia="Times New Roman" w:hAnsi="Arial" w:cs="Arial"/>
                <w:sz w:val="20"/>
                <w:szCs w:val="20"/>
                <w:lang w:eastAsia="zh-CN"/>
              </w:rPr>
            </w:pPr>
            <w:r>
              <w:rPr>
                <w:rFonts w:ascii="Calibri" w:eastAsia="Times New Roman" w:hAnsi="Calibri" w:cs="Calibri"/>
                <w:color w:val="000000"/>
                <w:kern w:val="24"/>
                <w:sz w:val="20"/>
                <w:szCs w:val="20"/>
                <w:lang w:eastAsia="zh-CN"/>
              </w:rPr>
              <w:t>-</w:t>
            </w:r>
            <w:r w:rsidR="00420ED8" w:rsidRPr="0075376A">
              <w:rPr>
                <w:rFonts w:ascii="Calibri" w:eastAsia="Times New Roman" w:hAnsi="Calibri" w:cs="Calibri"/>
                <w:color w:val="000000"/>
                <w:kern w:val="24"/>
                <w:sz w:val="20"/>
                <w:szCs w:val="20"/>
                <w:lang w:eastAsia="zh-CN"/>
              </w:rPr>
              <w:t>1.8%</w:t>
            </w:r>
          </w:p>
        </w:tc>
      </w:tr>
    </w:tbl>
    <w:p w14:paraId="4F98349E" w14:textId="77777777" w:rsidR="00420ED8" w:rsidRDefault="00420ED8" w:rsidP="00420ED8">
      <w:pPr>
        <w:sectPr w:rsidR="00420ED8" w:rsidSect="003100EE">
          <w:type w:val="continuous"/>
          <w:pgSz w:w="11906" w:h="16838"/>
          <w:pgMar w:top="1440" w:right="1440" w:bottom="1440" w:left="1440" w:header="708" w:footer="708" w:gutter="0"/>
          <w:cols w:num="2" w:space="708"/>
          <w:docGrid w:linePitch="360"/>
        </w:sectPr>
      </w:pPr>
    </w:p>
    <w:p w14:paraId="1D275E6D" w14:textId="77777777" w:rsidR="00420ED8" w:rsidRDefault="00420ED8" w:rsidP="00420ED8">
      <w:pPr>
        <w:pStyle w:val="Heading2"/>
      </w:pPr>
      <w:r>
        <w:lastRenderedPageBreak/>
        <w:t>2.3.3 Under 25</w:t>
      </w:r>
    </w:p>
    <w:p w14:paraId="0A5E4AF3" w14:textId="6A57C0AC" w:rsidR="00420ED8" w:rsidRDefault="00420ED8" w:rsidP="00420ED8">
      <w:r>
        <w:t>The variance between Under 25 years and 25</w:t>
      </w:r>
      <w:r w:rsidR="00ED7E11">
        <w:t>+</w:t>
      </w:r>
      <w:r>
        <w:t xml:space="preserve"> years has remained relatively consistent over the past 2 years</w:t>
      </w:r>
      <w:r w:rsidR="0075376A">
        <w:t>.</w:t>
      </w:r>
      <w:r>
        <w:t xml:space="preserve"> It is above MIT (</w:t>
      </w:r>
      <w:r w:rsidR="00611DF2">
        <w:t>-1.7% in 2017) but below AUT (</w:t>
      </w:r>
      <w:r>
        <w:t>0.3%), University of Au</w:t>
      </w:r>
      <w:r w:rsidR="00611DF2">
        <w:t>ckland (2.6%) and ITP sector (</w:t>
      </w:r>
      <w:r>
        <w:t>2.7%).</w:t>
      </w:r>
    </w:p>
    <w:p w14:paraId="5E6E0D77" w14:textId="77777777" w:rsidR="00420ED8" w:rsidRDefault="00420ED8" w:rsidP="00420ED8">
      <w:pPr>
        <w:sectPr w:rsidR="00420ED8" w:rsidSect="003100EE">
          <w:type w:val="continuous"/>
          <w:pgSz w:w="11906" w:h="16838"/>
          <w:pgMar w:top="1440" w:right="1440" w:bottom="1440" w:left="1440" w:header="708" w:footer="708" w:gutter="0"/>
          <w:cols w:space="708"/>
          <w:docGrid w:linePitch="360"/>
        </w:sectPr>
      </w:pPr>
    </w:p>
    <w:p w14:paraId="3F07691E" w14:textId="77777777" w:rsidR="00420ED8" w:rsidRPr="00632BAA" w:rsidRDefault="00420ED8" w:rsidP="00420ED8">
      <w:r w:rsidRPr="00632BAA">
        <w:rPr>
          <w:noProof/>
          <w:lang w:eastAsia="en-NZ"/>
        </w:rPr>
        <w:lastRenderedPageBreak/>
        <w:drawing>
          <wp:inline distT="0" distB="0" distL="0" distR="0" wp14:anchorId="2A1E9E16" wp14:editId="73A37AEF">
            <wp:extent cx="2874645" cy="1821485"/>
            <wp:effectExtent l="0" t="0" r="1905" b="762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p>
    <w:tbl>
      <w:tblPr>
        <w:tblW w:w="3812" w:type="dxa"/>
        <w:tblCellMar>
          <w:left w:w="0" w:type="dxa"/>
          <w:right w:w="0" w:type="dxa"/>
        </w:tblCellMar>
        <w:tblLook w:val="0420" w:firstRow="1" w:lastRow="0" w:firstColumn="0" w:lastColumn="0" w:noHBand="0" w:noVBand="1"/>
      </w:tblPr>
      <w:tblGrid>
        <w:gridCol w:w="1493"/>
        <w:gridCol w:w="711"/>
        <w:gridCol w:w="769"/>
        <w:gridCol w:w="839"/>
      </w:tblGrid>
      <w:tr w:rsidR="00420ED8" w:rsidRPr="00E968FC" w14:paraId="6B782E5B" w14:textId="77777777" w:rsidTr="00E968FC">
        <w:trPr>
          <w:trHeight w:val="202"/>
        </w:trPr>
        <w:tc>
          <w:tcPr>
            <w:tcW w:w="14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1A588A67" w14:textId="77777777" w:rsidR="00420ED8" w:rsidRPr="00E968FC" w:rsidRDefault="00420ED8" w:rsidP="00EA2B54">
            <w:pPr>
              <w:spacing w:after="0" w:line="240" w:lineRule="auto"/>
              <w:jc w:val="center"/>
              <w:rPr>
                <w:rFonts w:ascii="Arial" w:eastAsia="Times New Roman" w:hAnsi="Arial" w:cs="Arial"/>
                <w:sz w:val="20"/>
                <w:szCs w:val="20"/>
                <w:lang w:eastAsia="zh-CN"/>
              </w:rPr>
            </w:pPr>
            <w:r w:rsidRPr="00E968FC">
              <w:rPr>
                <w:rFonts w:ascii="Calibri" w:eastAsia="Times New Roman" w:hAnsi="Calibri" w:cs="Calibri"/>
                <w:b/>
                <w:bCs/>
                <w:color w:val="FFFFFF"/>
                <w:kern w:val="24"/>
                <w:sz w:val="20"/>
                <w:szCs w:val="20"/>
                <w:lang w:eastAsia="zh-CN"/>
              </w:rPr>
              <w:lastRenderedPageBreak/>
              <w:t>2017 Benchmarks</w:t>
            </w:r>
          </w:p>
        </w:tc>
        <w:tc>
          <w:tcPr>
            <w:tcW w:w="71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51C2577A"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b/>
                <w:bCs/>
                <w:color w:val="FFFFFF"/>
                <w:kern w:val="24"/>
                <w:sz w:val="20"/>
                <w:szCs w:val="20"/>
                <w:lang w:eastAsia="zh-CN"/>
              </w:rPr>
              <w:t>Under 25yrs</w:t>
            </w:r>
          </w:p>
        </w:tc>
        <w:tc>
          <w:tcPr>
            <w:tcW w:w="76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27A2B6CB"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b/>
                <w:bCs/>
                <w:color w:val="FFFFFF"/>
                <w:kern w:val="24"/>
                <w:sz w:val="20"/>
                <w:szCs w:val="20"/>
                <w:lang w:eastAsia="zh-CN"/>
              </w:rPr>
              <w:t>25+yrs</w:t>
            </w:r>
          </w:p>
        </w:tc>
        <w:tc>
          <w:tcPr>
            <w:tcW w:w="83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284B4A90"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b/>
                <w:bCs/>
                <w:color w:val="FFFFFF"/>
                <w:kern w:val="24"/>
                <w:sz w:val="20"/>
                <w:szCs w:val="20"/>
                <w:lang w:eastAsia="zh-CN"/>
              </w:rPr>
              <w:t>variance</w:t>
            </w:r>
          </w:p>
        </w:tc>
      </w:tr>
      <w:tr w:rsidR="00420ED8" w:rsidRPr="00E968FC" w14:paraId="7D87A866" w14:textId="77777777" w:rsidTr="00E968FC">
        <w:trPr>
          <w:trHeight w:val="164"/>
        </w:trPr>
        <w:tc>
          <w:tcPr>
            <w:tcW w:w="14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C97542A" w14:textId="77777777" w:rsidR="00420ED8" w:rsidRPr="00E968FC" w:rsidRDefault="00420ED8" w:rsidP="00EA2B54">
            <w:pPr>
              <w:spacing w:after="0" w:line="240" w:lineRule="auto"/>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Unitec</w:t>
            </w:r>
          </w:p>
        </w:tc>
        <w:tc>
          <w:tcPr>
            <w:tcW w:w="71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484B9E1"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57.9%</w:t>
            </w:r>
          </w:p>
        </w:tc>
        <w:tc>
          <w:tcPr>
            <w:tcW w:w="76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2DBD8DD"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59.0%</w:t>
            </w:r>
          </w:p>
        </w:tc>
        <w:tc>
          <w:tcPr>
            <w:tcW w:w="83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71B4DE2" w14:textId="77777777" w:rsidR="00420ED8" w:rsidRPr="00E968FC" w:rsidRDefault="00611DF2" w:rsidP="00EA2B54">
            <w:pPr>
              <w:spacing w:after="0" w:line="240" w:lineRule="auto"/>
              <w:jc w:val="center"/>
              <w:textAlignment w:val="bottom"/>
              <w:rPr>
                <w:rFonts w:ascii="Arial" w:eastAsia="Times New Roman" w:hAnsi="Arial" w:cs="Arial"/>
                <w:sz w:val="20"/>
                <w:szCs w:val="20"/>
                <w:lang w:eastAsia="zh-CN"/>
              </w:rPr>
            </w:pPr>
            <w:r>
              <w:rPr>
                <w:rFonts w:ascii="Calibri" w:eastAsia="Times New Roman" w:hAnsi="Calibri" w:cs="Calibri"/>
                <w:color w:val="000000"/>
                <w:kern w:val="24"/>
                <w:sz w:val="20"/>
                <w:szCs w:val="20"/>
                <w:lang w:eastAsia="zh-CN"/>
              </w:rPr>
              <w:t>-</w:t>
            </w:r>
            <w:r w:rsidR="00420ED8" w:rsidRPr="00E968FC">
              <w:rPr>
                <w:rFonts w:ascii="Calibri" w:eastAsia="Times New Roman" w:hAnsi="Calibri" w:cs="Calibri"/>
                <w:color w:val="000000"/>
                <w:kern w:val="24"/>
                <w:sz w:val="20"/>
                <w:szCs w:val="20"/>
                <w:lang w:eastAsia="zh-CN"/>
              </w:rPr>
              <w:t>1.1%</w:t>
            </w:r>
          </w:p>
        </w:tc>
      </w:tr>
      <w:tr w:rsidR="00420ED8" w:rsidRPr="00E968FC" w14:paraId="675E8B44" w14:textId="77777777" w:rsidTr="00E968FC">
        <w:trPr>
          <w:trHeight w:val="164"/>
        </w:trPr>
        <w:tc>
          <w:tcPr>
            <w:tcW w:w="14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85444F8" w14:textId="77777777" w:rsidR="00420ED8" w:rsidRPr="00E968FC" w:rsidRDefault="00420ED8" w:rsidP="00EA2B54">
            <w:pPr>
              <w:spacing w:after="0" w:line="240" w:lineRule="auto"/>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MIT</w:t>
            </w:r>
          </w:p>
        </w:tc>
        <w:tc>
          <w:tcPr>
            <w:tcW w:w="71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3E6B7EF"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53.7%</w:t>
            </w:r>
          </w:p>
        </w:tc>
        <w:tc>
          <w:tcPr>
            <w:tcW w:w="7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52B1D7F"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55.4%</w:t>
            </w:r>
          </w:p>
        </w:tc>
        <w:tc>
          <w:tcPr>
            <w:tcW w:w="8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2176A87" w14:textId="77777777" w:rsidR="00420ED8" w:rsidRPr="00E968FC" w:rsidRDefault="00611DF2" w:rsidP="00EA2B54">
            <w:pPr>
              <w:spacing w:after="0" w:line="240" w:lineRule="auto"/>
              <w:jc w:val="center"/>
              <w:textAlignment w:val="bottom"/>
              <w:rPr>
                <w:rFonts w:ascii="Arial" w:eastAsia="Times New Roman" w:hAnsi="Arial" w:cs="Arial"/>
                <w:sz w:val="20"/>
                <w:szCs w:val="20"/>
                <w:lang w:eastAsia="zh-CN"/>
              </w:rPr>
            </w:pPr>
            <w:r>
              <w:rPr>
                <w:rFonts w:ascii="Calibri" w:eastAsia="Times New Roman" w:hAnsi="Calibri" w:cs="Calibri"/>
                <w:color w:val="000000"/>
                <w:kern w:val="24"/>
                <w:sz w:val="20"/>
                <w:szCs w:val="20"/>
                <w:lang w:eastAsia="zh-CN"/>
              </w:rPr>
              <w:t>-</w:t>
            </w:r>
            <w:r w:rsidR="00420ED8" w:rsidRPr="00E968FC">
              <w:rPr>
                <w:rFonts w:ascii="Calibri" w:eastAsia="Times New Roman" w:hAnsi="Calibri" w:cs="Calibri"/>
                <w:color w:val="000000"/>
                <w:kern w:val="24"/>
                <w:sz w:val="20"/>
                <w:szCs w:val="20"/>
                <w:lang w:eastAsia="zh-CN"/>
              </w:rPr>
              <w:t>1.7%</w:t>
            </w:r>
          </w:p>
        </w:tc>
      </w:tr>
      <w:tr w:rsidR="00420ED8" w:rsidRPr="00E968FC" w14:paraId="206D19BC" w14:textId="77777777" w:rsidTr="00E968FC">
        <w:trPr>
          <w:trHeight w:val="164"/>
        </w:trPr>
        <w:tc>
          <w:tcPr>
            <w:tcW w:w="14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111A1D2" w14:textId="77777777" w:rsidR="00420ED8" w:rsidRPr="00E968FC" w:rsidRDefault="00420ED8" w:rsidP="00EA2B54">
            <w:pPr>
              <w:spacing w:after="0" w:line="240" w:lineRule="auto"/>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AUT</w:t>
            </w:r>
          </w:p>
        </w:tc>
        <w:tc>
          <w:tcPr>
            <w:tcW w:w="71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C79C145"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64.8%</w:t>
            </w:r>
          </w:p>
        </w:tc>
        <w:tc>
          <w:tcPr>
            <w:tcW w:w="76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5F82E96"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64.5%</w:t>
            </w:r>
          </w:p>
        </w:tc>
        <w:tc>
          <w:tcPr>
            <w:tcW w:w="8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D200504"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0.3%</w:t>
            </w:r>
          </w:p>
        </w:tc>
      </w:tr>
      <w:tr w:rsidR="00420ED8" w:rsidRPr="00E968FC" w14:paraId="73C0CF94" w14:textId="77777777" w:rsidTr="00E968FC">
        <w:trPr>
          <w:trHeight w:val="164"/>
        </w:trPr>
        <w:tc>
          <w:tcPr>
            <w:tcW w:w="14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4810C61" w14:textId="77777777" w:rsidR="00420ED8" w:rsidRPr="00E968FC" w:rsidRDefault="00420ED8" w:rsidP="00EA2B54">
            <w:pPr>
              <w:spacing w:after="0" w:line="240" w:lineRule="auto"/>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University of Auckland</w:t>
            </w:r>
          </w:p>
        </w:tc>
        <w:tc>
          <w:tcPr>
            <w:tcW w:w="71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5C498DD"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69.7%</w:t>
            </w:r>
          </w:p>
        </w:tc>
        <w:tc>
          <w:tcPr>
            <w:tcW w:w="7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22935E5"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67.1%</w:t>
            </w:r>
          </w:p>
        </w:tc>
        <w:tc>
          <w:tcPr>
            <w:tcW w:w="8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2056358"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2.6%</w:t>
            </w:r>
          </w:p>
        </w:tc>
      </w:tr>
      <w:tr w:rsidR="00420ED8" w:rsidRPr="00E968FC" w14:paraId="142E5351" w14:textId="77777777" w:rsidTr="00E968FC">
        <w:trPr>
          <w:trHeight w:val="202"/>
        </w:trPr>
        <w:tc>
          <w:tcPr>
            <w:tcW w:w="14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6E84BD7" w14:textId="77777777" w:rsidR="00420ED8" w:rsidRPr="00E968FC" w:rsidRDefault="00420ED8" w:rsidP="00EA2B54">
            <w:pPr>
              <w:spacing w:after="0" w:line="240" w:lineRule="auto"/>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ITP Sector</w:t>
            </w:r>
          </w:p>
        </w:tc>
        <w:tc>
          <w:tcPr>
            <w:tcW w:w="71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8B2404F"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54.5%</w:t>
            </w:r>
          </w:p>
        </w:tc>
        <w:tc>
          <w:tcPr>
            <w:tcW w:w="76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95A024C"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51.8%</w:t>
            </w:r>
          </w:p>
        </w:tc>
        <w:tc>
          <w:tcPr>
            <w:tcW w:w="8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D16F128" w14:textId="77777777" w:rsidR="00420ED8" w:rsidRPr="00E968FC" w:rsidRDefault="00420ED8" w:rsidP="00EA2B54">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2.7%</w:t>
            </w:r>
          </w:p>
        </w:tc>
      </w:tr>
    </w:tbl>
    <w:p w14:paraId="503EFE5A" w14:textId="77777777" w:rsidR="00420ED8" w:rsidRDefault="00420ED8" w:rsidP="00420ED8">
      <w:pPr>
        <w:sectPr w:rsidR="00420ED8" w:rsidSect="003100EE">
          <w:type w:val="continuous"/>
          <w:pgSz w:w="11906" w:h="16838"/>
          <w:pgMar w:top="1440" w:right="1440" w:bottom="1440" w:left="1440" w:header="708" w:footer="708" w:gutter="0"/>
          <w:cols w:num="2" w:space="708"/>
          <w:docGrid w:linePitch="360"/>
        </w:sectPr>
      </w:pPr>
    </w:p>
    <w:p w14:paraId="1BB097D1" w14:textId="77777777" w:rsidR="00420ED8" w:rsidRDefault="00420ED8" w:rsidP="00420ED8">
      <w:pPr>
        <w:pStyle w:val="Heading2"/>
      </w:pPr>
      <w:r>
        <w:lastRenderedPageBreak/>
        <w:t>2.3.4 International</w:t>
      </w:r>
    </w:p>
    <w:tbl>
      <w:tblPr>
        <w:tblpPr w:leftFromText="180" w:rightFromText="180" w:vertAnchor="text" w:horzAnchor="margin" w:tblpXSpec="right" w:tblpY="1536"/>
        <w:tblW w:w="4101" w:type="dxa"/>
        <w:tblCellMar>
          <w:left w:w="0" w:type="dxa"/>
          <w:right w:w="0" w:type="dxa"/>
        </w:tblCellMar>
        <w:tblLook w:val="0420" w:firstRow="1" w:lastRow="0" w:firstColumn="0" w:lastColumn="0" w:noHBand="0" w:noVBand="1"/>
      </w:tblPr>
      <w:tblGrid>
        <w:gridCol w:w="1308"/>
        <w:gridCol w:w="1119"/>
        <w:gridCol w:w="809"/>
        <w:gridCol w:w="865"/>
      </w:tblGrid>
      <w:tr w:rsidR="00072A5A" w:rsidRPr="00E968FC" w14:paraId="0FC504BC" w14:textId="77777777" w:rsidTr="00072A5A">
        <w:trPr>
          <w:trHeight w:val="257"/>
        </w:trPr>
        <w:tc>
          <w:tcPr>
            <w:tcW w:w="130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60BCED96" w14:textId="77777777" w:rsidR="00072A5A" w:rsidRPr="00E968FC" w:rsidRDefault="00072A5A" w:rsidP="00072A5A">
            <w:pPr>
              <w:spacing w:after="0" w:line="240" w:lineRule="auto"/>
              <w:jc w:val="center"/>
              <w:rPr>
                <w:rFonts w:ascii="Arial" w:eastAsia="Times New Roman" w:hAnsi="Arial" w:cs="Arial"/>
                <w:sz w:val="20"/>
                <w:szCs w:val="20"/>
                <w:lang w:eastAsia="zh-CN"/>
              </w:rPr>
            </w:pPr>
            <w:r w:rsidRPr="00E968FC">
              <w:rPr>
                <w:rFonts w:ascii="Calibri" w:eastAsia="Times New Roman" w:hAnsi="Calibri" w:cs="Calibri"/>
                <w:b/>
                <w:bCs/>
                <w:color w:val="FFFFFF"/>
                <w:kern w:val="24"/>
                <w:sz w:val="20"/>
                <w:szCs w:val="20"/>
                <w:lang w:eastAsia="zh-CN"/>
              </w:rPr>
              <w:t>2017 Benchmarks</w:t>
            </w:r>
          </w:p>
        </w:tc>
        <w:tc>
          <w:tcPr>
            <w:tcW w:w="111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4AF38A54"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b/>
                <w:bCs/>
                <w:color w:val="FFFFFF"/>
                <w:kern w:val="24"/>
                <w:sz w:val="20"/>
                <w:szCs w:val="20"/>
                <w:lang w:eastAsia="zh-CN"/>
              </w:rPr>
              <w:t>International</w:t>
            </w:r>
          </w:p>
        </w:tc>
        <w:tc>
          <w:tcPr>
            <w:tcW w:w="80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7C0E9580"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b/>
                <w:bCs/>
                <w:color w:val="FFFFFF"/>
                <w:kern w:val="24"/>
                <w:sz w:val="20"/>
                <w:szCs w:val="20"/>
                <w:lang w:eastAsia="zh-CN"/>
              </w:rPr>
              <w:t>Domestic</w:t>
            </w:r>
          </w:p>
        </w:tc>
        <w:tc>
          <w:tcPr>
            <w:tcW w:w="86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568A394C"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b/>
                <w:bCs/>
                <w:color w:val="FFFFFF"/>
                <w:kern w:val="24"/>
                <w:sz w:val="20"/>
                <w:szCs w:val="20"/>
                <w:lang w:eastAsia="zh-CN"/>
              </w:rPr>
              <w:t>variance</w:t>
            </w:r>
          </w:p>
        </w:tc>
      </w:tr>
      <w:tr w:rsidR="00072A5A" w:rsidRPr="00E968FC" w14:paraId="175EA2A5" w14:textId="77777777" w:rsidTr="00072A5A">
        <w:trPr>
          <w:trHeight w:val="208"/>
        </w:trPr>
        <w:tc>
          <w:tcPr>
            <w:tcW w:w="130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45357E6" w14:textId="77777777" w:rsidR="00072A5A" w:rsidRPr="00E968FC" w:rsidRDefault="00072A5A" w:rsidP="00072A5A">
            <w:pPr>
              <w:spacing w:after="0" w:line="240" w:lineRule="auto"/>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Unitec</w:t>
            </w:r>
          </w:p>
        </w:tc>
        <w:tc>
          <w:tcPr>
            <w:tcW w:w="111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C5FBD7D"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62.0%</w:t>
            </w:r>
          </w:p>
        </w:tc>
        <w:tc>
          <w:tcPr>
            <w:tcW w:w="8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FF54152"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57.6%</w:t>
            </w:r>
          </w:p>
        </w:tc>
        <w:tc>
          <w:tcPr>
            <w:tcW w:w="86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ED7C99E"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4.4%</w:t>
            </w:r>
          </w:p>
        </w:tc>
      </w:tr>
      <w:tr w:rsidR="00072A5A" w:rsidRPr="00E968FC" w14:paraId="4CC6BAA7" w14:textId="77777777" w:rsidTr="00072A5A">
        <w:trPr>
          <w:trHeight w:val="208"/>
        </w:trPr>
        <w:tc>
          <w:tcPr>
            <w:tcW w:w="13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4924B2A" w14:textId="77777777" w:rsidR="00072A5A" w:rsidRPr="00E968FC" w:rsidRDefault="00072A5A" w:rsidP="00072A5A">
            <w:pPr>
              <w:spacing w:after="0" w:line="240" w:lineRule="auto"/>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MIT</w:t>
            </w:r>
          </w:p>
        </w:tc>
        <w:tc>
          <w:tcPr>
            <w:tcW w:w="11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B5A5F14"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64.0%</w:t>
            </w:r>
          </w:p>
        </w:tc>
        <w:tc>
          <w:tcPr>
            <w:tcW w:w="8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4FE4D6A"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53.7%</w:t>
            </w:r>
          </w:p>
        </w:tc>
        <w:tc>
          <w:tcPr>
            <w:tcW w:w="86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AECE2D4"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10.3%</w:t>
            </w:r>
          </w:p>
        </w:tc>
      </w:tr>
      <w:tr w:rsidR="00072A5A" w:rsidRPr="00E968FC" w14:paraId="58CC9B65" w14:textId="77777777" w:rsidTr="00072A5A">
        <w:trPr>
          <w:trHeight w:val="208"/>
        </w:trPr>
        <w:tc>
          <w:tcPr>
            <w:tcW w:w="13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EF37820" w14:textId="77777777" w:rsidR="00072A5A" w:rsidRPr="00E968FC" w:rsidRDefault="00072A5A" w:rsidP="00072A5A">
            <w:pPr>
              <w:spacing w:after="0" w:line="240" w:lineRule="auto"/>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AUT</w:t>
            </w:r>
          </w:p>
        </w:tc>
        <w:tc>
          <w:tcPr>
            <w:tcW w:w="11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D544D33"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77.5%</w:t>
            </w:r>
          </w:p>
        </w:tc>
        <w:tc>
          <w:tcPr>
            <w:tcW w:w="8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62274D3"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62.3%</w:t>
            </w:r>
          </w:p>
        </w:tc>
        <w:tc>
          <w:tcPr>
            <w:tcW w:w="86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2E86737"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15.2%</w:t>
            </w:r>
          </w:p>
        </w:tc>
      </w:tr>
      <w:tr w:rsidR="00072A5A" w:rsidRPr="00E968FC" w14:paraId="4925DA1A" w14:textId="77777777" w:rsidTr="00072A5A">
        <w:trPr>
          <w:trHeight w:val="208"/>
        </w:trPr>
        <w:tc>
          <w:tcPr>
            <w:tcW w:w="13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C72599E" w14:textId="77777777" w:rsidR="00072A5A" w:rsidRPr="00E968FC" w:rsidRDefault="00072A5A" w:rsidP="00072A5A">
            <w:pPr>
              <w:spacing w:after="0" w:line="240" w:lineRule="auto"/>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University of Auckland</w:t>
            </w:r>
          </w:p>
        </w:tc>
        <w:tc>
          <w:tcPr>
            <w:tcW w:w="11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9E4D9C5"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75.3%</w:t>
            </w:r>
          </w:p>
        </w:tc>
        <w:tc>
          <w:tcPr>
            <w:tcW w:w="8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B83061A"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68.0%</w:t>
            </w:r>
          </w:p>
        </w:tc>
        <w:tc>
          <w:tcPr>
            <w:tcW w:w="86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C8DDB60"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7.3%</w:t>
            </w:r>
          </w:p>
        </w:tc>
      </w:tr>
      <w:tr w:rsidR="00072A5A" w:rsidRPr="00E968FC" w14:paraId="11081F76" w14:textId="77777777" w:rsidTr="00072A5A">
        <w:trPr>
          <w:trHeight w:val="29"/>
        </w:trPr>
        <w:tc>
          <w:tcPr>
            <w:tcW w:w="13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C2CE452" w14:textId="77777777" w:rsidR="00072A5A" w:rsidRPr="00E968FC" w:rsidRDefault="00072A5A" w:rsidP="00072A5A">
            <w:pPr>
              <w:spacing w:after="0" w:line="240" w:lineRule="auto"/>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ITP Sector</w:t>
            </w:r>
          </w:p>
        </w:tc>
        <w:tc>
          <w:tcPr>
            <w:tcW w:w="11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1400590"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65.2%</w:t>
            </w:r>
          </w:p>
        </w:tc>
        <w:tc>
          <w:tcPr>
            <w:tcW w:w="8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022551B"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51.8%</w:t>
            </w:r>
          </w:p>
        </w:tc>
        <w:tc>
          <w:tcPr>
            <w:tcW w:w="86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027C6F4" w14:textId="77777777" w:rsidR="00072A5A" w:rsidRPr="00E968FC" w:rsidRDefault="00072A5A" w:rsidP="00072A5A">
            <w:pPr>
              <w:spacing w:after="0" w:line="240" w:lineRule="auto"/>
              <w:jc w:val="center"/>
              <w:textAlignment w:val="bottom"/>
              <w:rPr>
                <w:rFonts w:ascii="Arial" w:eastAsia="Times New Roman" w:hAnsi="Arial" w:cs="Arial"/>
                <w:sz w:val="20"/>
                <w:szCs w:val="20"/>
                <w:lang w:eastAsia="zh-CN"/>
              </w:rPr>
            </w:pPr>
            <w:r w:rsidRPr="00E968FC">
              <w:rPr>
                <w:rFonts w:ascii="Calibri" w:eastAsia="Times New Roman" w:hAnsi="Calibri" w:cs="Calibri"/>
                <w:color w:val="000000"/>
                <w:kern w:val="24"/>
                <w:sz w:val="20"/>
                <w:szCs w:val="20"/>
                <w:lang w:eastAsia="zh-CN"/>
              </w:rPr>
              <w:t>13.4%</w:t>
            </w:r>
          </w:p>
        </w:tc>
      </w:tr>
    </w:tbl>
    <w:p w14:paraId="7FABBAC5" w14:textId="4D7277BB" w:rsidR="00420ED8" w:rsidRPr="009F50B8" w:rsidRDefault="00420ED8" w:rsidP="00420ED8">
      <w:pPr>
        <w:rPr>
          <w:color w:val="FF0000"/>
        </w:rPr>
      </w:pPr>
      <w:r>
        <w:t xml:space="preserve">The graph below shows a strong climb </w:t>
      </w:r>
      <w:r w:rsidR="00082BE3">
        <w:t>in the</w:t>
      </w:r>
      <w:r>
        <w:t xml:space="preserve"> International Students</w:t>
      </w:r>
      <w:r w:rsidR="00ED7E11">
        <w:t>’</w:t>
      </w:r>
      <w:r>
        <w:t xml:space="preserve"> Cohort-based qualification completion rate since 2014. From 2017 International students show higher performance than domestic students. In 2018 the variance reached 10.4%, which is greater than the 2017 variances across the ITP Sector, University of Auckland, AUT and MIT. There was, however, a 380 EFTS decline from 2017 to 2018.</w:t>
      </w:r>
    </w:p>
    <w:p w14:paraId="7A291C05" w14:textId="77777777" w:rsidR="004452E5" w:rsidRDefault="004452E5" w:rsidP="00420ED8">
      <w:r w:rsidRPr="00822CDC">
        <w:rPr>
          <w:noProof/>
          <w:lang w:eastAsia="en-NZ"/>
        </w:rPr>
        <w:drawing>
          <wp:inline distT="0" distB="0" distL="0" distR="0" wp14:anchorId="61B00936" wp14:editId="395E51E1">
            <wp:extent cx="2596515" cy="1901952"/>
            <wp:effectExtent l="0" t="0" r="13335" b="31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24D2FF" w14:textId="77777777" w:rsidR="00420ED8" w:rsidRDefault="00420ED8" w:rsidP="00072A5A">
      <w:pPr>
        <w:pStyle w:val="Heading2"/>
        <w:spacing w:before="240" w:after="200"/>
      </w:pPr>
      <w:r>
        <w:t>2.4 Difference between Successful Course Completion and Cohort-based Qualification Completion</w:t>
      </w:r>
    </w:p>
    <w:p w14:paraId="1DBF38C3" w14:textId="77777777" w:rsidR="00420ED8" w:rsidRDefault="00420ED8" w:rsidP="00420ED8">
      <w:pPr>
        <w:rPr>
          <w:lang w:val="mi-NZ"/>
        </w:rPr>
      </w:pPr>
      <w:r w:rsidRPr="003673E6">
        <w:rPr>
          <w:lang w:val="mi-NZ"/>
        </w:rPr>
        <w:t xml:space="preserve">Unitec has consistently shown a 25-30% variance between </w:t>
      </w:r>
      <w:r>
        <w:rPr>
          <w:lang w:val="mi-NZ"/>
        </w:rPr>
        <w:t>Suc</w:t>
      </w:r>
      <w:r w:rsidR="00ED7E11">
        <w:rPr>
          <w:lang w:val="mi-NZ"/>
        </w:rPr>
        <w:t>c</w:t>
      </w:r>
      <w:r>
        <w:rPr>
          <w:lang w:val="mi-NZ"/>
        </w:rPr>
        <w:t xml:space="preserve">essful </w:t>
      </w:r>
      <w:r w:rsidRPr="003673E6">
        <w:rPr>
          <w:lang w:val="mi-NZ"/>
        </w:rPr>
        <w:t xml:space="preserve">course completion rates and </w:t>
      </w:r>
      <w:r>
        <w:rPr>
          <w:lang w:val="mi-NZ"/>
        </w:rPr>
        <w:t xml:space="preserve">Cohort-based </w:t>
      </w:r>
      <w:r w:rsidRPr="003673E6">
        <w:rPr>
          <w:lang w:val="mi-NZ"/>
        </w:rPr>
        <w:t>qualification completion.  This is a level that is consistent across the ITP sector and universities.  Analysis by intended qualification shows that the variance is much higher amongst Architecture and Education qualifications</w:t>
      </w:r>
    </w:p>
    <w:p w14:paraId="4BF14630" w14:textId="77777777" w:rsidR="00420ED8" w:rsidRDefault="00420ED8" w:rsidP="00420ED8">
      <w:r w:rsidRPr="003673E6">
        <w:rPr>
          <w:noProof/>
          <w:lang w:eastAsia="en-NZ"/>
        </w:rPr>
        <w:drawing>
          <wp:inline distT="0" distB="0" distL="0" distR="0" wp14:anchorId="727808D7" wp14:editId="01F813B9">
            <wp:extent cx="4820539" cy="2114093"/>
            <wp:effectExtent l="0" t="0" r="18415"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1E85DE" w14:textId="77777777" w:rsidR="00611DF2" w:rsidRDefault="00611DF2" w:rsidP="00420ED8"/>
    <w:tbl>
      <w:tblPr>
        <w:tblW w:w="5773" w:type="dxa"/>
        <w:tblCellMar>
          <w:left w:w="0" w:type="dxa"/>
          <w:right w:w="0" w:type="dxa"/>
        </w:tblCellMar>
        <w:tblLook w:val="0420" w:firstRow="1" w:lastRow="0" w:firstColumn="0" w:lastColumn="0" w:noHBand="0" w:noVBand="1"/>
      </w:tblPr>
      <w:tblGrid>
        <w:gridCol w:w="1871"/>
        <w:gridCol w:w="1341"/>
        <w:gridCol w:w="1453"/>
        <w:gridCol w:w="1108"/>
      </w:tblGrid>
      <w:tr w:rsidR="00420ED8" w:rsidRPr="00E968FC" w14:paraId="6B714473" w14:textId="77777777" w:rsidTr="00E968FC">
        <w:trPr>
          <w:trHeight w:val="462"/>
        </w:trPr>
        <w:tc>
          <w:tcPr>
            <w:tcW w:w="18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80254BC" w14:textId="77777777" w:rsidR="00420ED8" w:rsidRPr="00E968FC" w:rsidRDefault="00420ED8" w:rsidP="00E968FC">
            <w:pPr>
              <w:spacing w:after="0"/>
              <w:rPr>
                <w:sz w:val="20"/>
                <w:szCs w:val="20"/>
              </w:rPr>
            </w:pPr>
            <w:r w:rsidRPr="00E968FC">
              <w:rPr>
                <w:b/>
                <w:bCs/>
                <w:sz w:val="20"/>
                <w:szCs w:val="20"/>
              </w:rPr>
              <w:t>2017 Benchmarking</w:t>
            </w:r>
          </w:p>
        </w:tc>
        <w:tc>
          <w:tcPr>
            <w:tcW w:w="134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C79AE41" w14:textId="77777777" w:rsidR="00420ED8" w:rsidRPr="00E968FC" w:rsidRDefault="00420ED8" w:rsidP="00E968FC">
            <w:pPr>
              <w:spacing w:after="0"/>
              <w:rPr>
                <w:sz w:val="20"/>
                <w:szCs w:val="20"/>
              </w:rPr>
            </w:pPr>
            <w:r w:rsidRPr="00E968FC">
              <w:rPr>
                <w:b/>
                <w:bCs/>
                <w:sz w:val="20"/>
                <w:szCs w:val="20"/>
              </w:rPr>
              <w:t>Course Completion Rate</w:t>
            </w:r>
          </w:p>
        </w:tc>
        <w:tc>
          <w:tcPr>
            <w:tcW w:w="145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31ECB0F" w14:textId="77777777" w:rsidR="00420ED8" w:rsidRPr="00E968FC" w:rsidRDefault="00420ED8" w:rsidP="00E968FC">
            <w:pPr>
              <w:spacing w:after="0"/>
              <w:rPr>
                <w:sz w:val="20"/>
                <w:szCs w:val="20"/>
              </w:rPr>
            </w:pPr>
            <w:r w:rsidRPr="00E968FC">
              <w:rPr>
                <w:b/>
                <w:bCs/>
                <w:sz w:val="20"/>
                <w:szCs w:val="20"/>
              </w:rPr>
              <w:t>Qualification Completion Rate</w:t>
            </w:r>
          </w:p>
        </w:tc>
        <w:tc>
          <w:tcPr>
            <w:tcW w:w="110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F60B0F3" w14:textId="77777777" w:rsidR="00420ED8" w:rsidRPr="00E968FC" w:rsidRDefault="00420ED8" w:rsidP="00E968FC">
            <w:pPr>
              <w:spacing w:after="0"/>
              <w:rPr>
                <w:sz w:val="20"/>
                <w:szCs w:val="20"/>
              </w:rPr>
            </w:pPr>
            <w:r w:rsidRPr="00E968FC">
              <w:rPr>
                <w:b/>
                <w:bCs/>
                <w:sz w:val="20"/>
                <w:szCs w:val="20"/>
              </w:rPr>
              <w:t>Variance</w:t>
            </w:r>
          </w:p>
        </w:tc>
      </w:tr>
      <w:tr w:rsidR="00420ED8" w:rsidRPr="00E968FC" w14:paraId="211BC7D9" w14:textId="77777777" w:rsidTr="00E968FC">
        <w:trPr>
          <w:trHeight w:val="208"/>
        </w:trPr>
        <w:tc>
          <w:tcPr>
            <w:tcW w:w="18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35BD873" w14:textId="77777777" w:rsidR="00420ED8" w:rsidRPr="00E968FC" w:rsidRDefault="00420ED8" w:rsidP="00E968FC">
            <w:pPr>
              <w:spacing w:after="0"/>
              <w:rPr>
                <w:sz w:val="20"/>
                <w:szCs w:val="20"/>
              </w:rPr>
            </w:pPr>
            <w:r w:rsidRPr="00E968FC">
              <w:rPr>
                <w:sz w:val="20"/>
                <w:szCs w:val="20"/>
              </w:rPr>
              <w:t>Unitec</w:t>
            </w:r>
          </w:p>
        </w:tc>
        <w:tc>
          <w:tcPr>
            <w:tcW w:w="134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258BAA8A" w14:textId="77777777" w:rsidR="00420ED8" w:rsidRPr="00E968FC" w:rsidRDefault="00420ED8" w:rsidP="00E968FC">
            <w:pPr>
              <w:spacing w:after="0"/>
              <w:rPr>
                <w:sz w:val="20"/>
                <w:szCs w:val="20"/>
              </w:rPr>
            </w:pPr>
            <w:r w:rsidRPr="00E968FC">
              <w:rPr>
                <w:sz w:val="20"/>
                <w:szCs w:val="20"/>
              </w:rPr>
              <w:t>83.4%</w:t>
            </w:r>
          </w:p>
        </w:tc>
        <w:tc>
          <w:tcPr>
            <w:tcW w:w="145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A1A4639" w14:textId="77777777" w:rsidR="00420ED8" w:rsidRPr="00E968FC" w:rsidRDefault="00420ED8" w:rsidP="00E968FC">
            <w:pPr>
              <w:spacing w:after="0"/>
              <w:rPr>
                <w:sz w:val="20"/>
                <w:szCs w:val="20"/>
              </w:rPr>
            </w:pPr>
            <w:r w:rsidRPr="00E968FC">
              <w:rPr>
                <w:sz w:val="20"/>
                <w:szCs w:val="20"/>
              </w:rPr>
              <w:t>58.4%</w:t>
            </w:r>
          </w:p>
        </w:tc>
        <w:tc>
          <w:tcPr>
            <w:tcW w:w="11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D04ED98" w14:textId="77777777" w:rsidR="00420ED8" w:rsidRPr="00E968FC" w:rsidRDefault="00420ED8" w:rsidP="00E968FC">
            <w:pPr>
              <w:spacing w:after="0"/>
              <w:rPr>
                <w:sz w:val="20"/>
                <w:szCs w:val="20"/>
              </w:rPr>
            </w:pPr>
            <w:r w:rsidRPr="00E968FC">
              <w:rPr>
                <w:sz w:val="20"/>
                <w:szCs w:val="20"/>
              </w:rPr>
              <w:t>25.0%</w:t>
            </w:r>
          </w:p>
        </w:tc>
      </w:tr>
      <w:tr w:rsidR="00420ED8" w:rsidRPr="00E968FC" w14:paraId="2F5C4FAE" w14:textId="77777777" w:rsidTr="00E968FC">
        <w:trPr>
          <w:trHeight w:val="208"/>
        </w:trPr>
        <w:tc>
          <w:tcPr>
            <w:tcW w:w="18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1CE8B53" w14:textId="77777777" w:rsidR="00420ED8" w:rsidRPr="00E968FC" w:rsidRDefault="00420ED8" w:rsidP="00E968FC">
            <w:pPr>
              <w:spacing w:after="0"/>
              <w:rPr>
                <w:sz w:val="20"/>
                <w:szCs w:val="20"/>
              </w:rPr>
            </w:pPr>
            <w:r w:rsidRPr="00E968FC">
              <w:rPr>
                <w:sz w:val="20"/>
                <w:szCs w:val="20"/>
              </w:rPr>
              <w:t>ITP Sector Average</w:t>
            </w:r>
          </w:p>
        </w:tc>
        <w:tc>
          <w:tcPr>
            <w:tcW w:w="13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BC3D189" w14:textId="77777777" w:rsidR="00420ED8" w:rsidRPr="00E968FC" w:rsidRDefault="00420ED8" w:rsidP="00E968FC">
            <w:pPr>
              <w:spacing w:after="0"/>
              <w:rPr>
                <w:sz w:val="20"/>
                <w:szCs w:val="20"/>
              </w:rPr>
            </w:pPr>
            <w:r w:rsidRPr="00E968FC">
              <w:rPr>
                <w:sz w:val="20"/>
                <w:szCs w:val="20"/>
              </w:rPr>
              <w:t>81.7%</w:t>
            </w:r>
          </w:p>
        </w:tc>
        <w:tc>
          <w:tcPr>
            <w:tcW w:w="14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24A3B35" w14:textId="77777777" w:rsidR="00420ED8" w:rsidRPr="00E968FC" w:rsidRDefault="00420ED8" w:rsidP="00E968FC">
            <w:pPr>
              <w:spacing w:after="0"/>
              <w:rPr>
                <w:sz w:val="20"/>
                <w:szCs w:val="20"/>
              </w:rPr>
            </w:pPr>
            <w:r w:rsidRPr="00E968FC">
              <w:rPr>
                <w:sz w:val="20"/>
                <w:szCs w:val="20"/>
              </w:rPr>
              <w:t>53.1%</w:t>
            </w:r>
          </w:p>
        </w:tc>
        <w:tc>
          <w:tcPr>
            <w:tcW w:w="11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4CE09D7" w14:textId="77777777" w:rsidR="00420ED8" w:rsidRPr="00E968FC" w:rsidRDefault="00420ED8" w:rsidP="00E968FC">
            <w:pPr>
              <w:spacing w:after="0"/>
              <w:rPr>
                <w:sz w:val="20"/>
                <w:szCs w:val="20"/>
              </w:rPr>
            </w:pPr>
            <w:r w:rsidRPr="00E968FC">
              <w:rPr>
                <w:sz w:val="20"/>
                <w:szCs w:val="20"/>
              </w:rPr>
              <w:t>28.6%</w:t>
            </w:r>
          </w:p>
        </w:tc>
      </w:tr>
      <w:tr w:rsidR="00420ED8" w:rsidRPr="00E968FC" w14:paraId="216EDC9F" w14:textId="77777777" w:rsidTr="00E968FC">
        <w:trPr>
          <w:trHeight w:val="33"/>
        </w:trPr>
        <w:tc>
          <w:tcPr>
            <w:tcW w:w="18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3698022" w14:textId="77777777" w:rsidR="00420ED8" w:rsidRPr="00E968FC" w:rsidRDefault="00420ED8" w:rsidP="00E968FC">
            <w:pPr>
              <w:spacing w:after="0"/>
              <w:rPr>
                <w:sz w:val="20"/>
                <w:szCs w:val="20"/>
              </w:rPr>
            </w:pPr>
            <w:r w:rsidRPr="00E968FC">
              <w:rPr>
                <w:sz w:val="20"/>
                <w:szCs w:val="20"/>
              </w:rPr>
              <w:t>Universities Average</w:t>
            </w:r>
          </w:p>
        </w:tc>
        <w:tc>
          <w:tcPr>
            <w:tcW w:w="134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1655B7E" w14:textId="77777777" w:rsidR="00420ED8" w:rsidRPr="00E968FC" w:rsidRDefault="00420ED8" w:rsidP="00E968FC">
            <w:pPr>
              <w:spacing w:after="0"/>
              <w:rPr>
                <w:sz w:val="20"/>
                <w:szCs w:val="20"/>
              </w:rPr>
            </w:pPr>
            <w:r w:rsidRPr="00E968FC">
              <w:rPr>
                <w:sz w:val="20"/>
                <w:szCs w:val="20"/>
              </w:rPr>
              <w:t>87.2%</w:t>
            </w:r>
          </w:p>
        </w:tc>
        <w:tc>
          <w:tcPr>
            <w:tcW w:w="14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28739AA9" w14:textId="77777777" w:rsidR="00420ED8" w:rsidRPr="00E968FC" w:rsidRDefault="00420ED8" w:rsidP="00E968FC">
            <w:pPr>
              <w:spacing w:after="0"/>
              <w:rPr>
                <w:sz w:val="20"/>
                <w:szCs w:val="20"/>
              </w:rPr>
            </w:pPr>
            <w:r w:rsidRPr="00E968FC">
              <w:rPr>
                <w:sz w:val="20"/>
                <w:szCs w:val="20"/>
              </w:rPr>
              <w:t>63.3%</w:t>
            </w:r>
          </w:p>
        </w:tc>
        <w:tc>
          <w:tcPr>
            <w:tcW w:w="11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6010D79" w14:textId="77777777" w:rsidR="00420ED8" w:rsidRPr="00E968FC" w:rsidRDefault="00420ED8" w:rsidP="00E968FC">
            <w:pPr>
              <w:spacing w:after="0"/>
              <w:rPr>
                <w:sz w:val="20"/>
                <w:szCs w:val="20"/>
              </w:rPr>
            </w:pPr>
            <w:r w:rsidRPr="00E968FC">
              <w:rPr>
                <w:sz w:val="20"/>
                <w:szCs w:val="20"/>
              </w:rPr>
              <w:t>23.9%</w:t>
            </w:r>
          </w:p>
        </w:tc>
      </w:tr>
    </w:tbl>
    <w:p w14:paraId="35129328" w14:textId="77777777" w:rsidR="00420ED8" w:rsidRDefault="00420ED8" w:rsidP="00420ED8">
      <w:r w:rsidRPr="003673E6">
        <w:rPr>
          <w:noProof/>
          <w:lang w:eastAsia="en-NZ"/>
        </w:rPr>
        <w:lastRenderedPageBreak/>
        <w:drawing>
          <wp:inline distT="0" distB="0" distL="0" distR="0" wp14:anchorId="25195E2D" wp14:editId="593EA024">
            <wp:extent cx="4467569" cy="4064000"/>
            <wp:effectExtent l="0" t="0" r="9525"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A445BE" w14:textId="156E589F" w:rsidR="00420ED8" w:rsidRDefault="00420ED8" w:rsidP="00420ED8">
      <w:pPr>
        <w:pStyle w:val="Heading2"/>
      </w:pPr>
      <w:r>
        <w:t xml:space="preserve">2.5 </w:t>
      </w:r>
      <w:r w:rsidRPr="0059601E">
        <w:t>Key findings</w:t>
      </w:r>
    </w:p>
    <w:p w14:paraId="4D144631" w14:textId="77777777" w:rsidR="00420ED8" w:rsidRDefault="00611DF2" w:rsidP="00420ED8">
      <w:pPr>
        <w:pStyle w:val="ListParagraph"/>
        <w:numPr>
          <w:ilvl w:val="0"/>
          <w:numId w:val="8"/>
        </w:numPr>
      </w:pPr>
      <w:r>
        <w:t>There is a need to i</w:t>
      </w:r>
      <w:r w:rsidR="00420ED8">
        <w:t>dentify and monitor at risk students as early as possible when they start, in order to offer support that will enhance their Successful Course Completion and retention and thus increase the Cohort-based Qualification Completion.</w:t>
      </w:r>
    </w:p>
    <w:p w14:paraId="1DD59A2C" w14:textId="77777777" w:rsidR="00420ED8" w:rsidRDefault="008B47E2" w:rsidP="00611DF2">
      <w:pPr>
        <w:pStyle w:val="ListParagraph"/>
        <w:numPr>
          <w:ilvl w:val="0"/>
          <w:numId w:val="8"/>
        </w:numPr>
      </w:pPr>
      <w:r>
        <w:t xml:space="preserve">Support could be offered by </w:t>
      </w:r>
      <w:r w:rsidRPr="00611DF2">
        <w:t>Te Korowai Kahurangi</w:t>
      </w:r>
      <w:r>
        <w:t xml:space="preserve"> to help staff understand</w:t>
      </w:r>
      <w:r w:rsidR="00420ED8">
        <w:t xml:space="preserve"> the TEC </w:t>
      </w:r>
      <w:r w:rsidR="00420ED8">
        <w:rPr>
          <w:rFonts w:hint="eastAsia"/>
          <w:lang w:eastAsia="zh-CN"/>
        </w:rPr>
        <w:t xml:space="preserve">Cohort-based </w:t>
      </w:r>
      <w:r w:rsidR="00420ED8">
        <w:rPr>
          <w:lang w:eastAsia="zh-CN"/>
        </w:rPr>
        <w:t>qualification methodology so they can understand how it reflects on their student data.</w:t>
      </w:r>
    </w:p>
    <w:p w14:paraId="268851B1" w14:textId="77777777" w:rsidR="00420ED8" w:rsidRPr="008D6FEB" w:rsidRDefault="00611DF2" w:rsidP="00420ED8">
      <w:pPr>
        <w:pStyle w:val="ListParagraph"/>
        <w:numPr>
          <w:ilvl w:val="0"/>
          <w:numId w:val="8"/>
        </w:numPr>
      </w:pPr>
      <w:r>
        <w:t>D</w:t>
      </w:r>
      <w:r w:rsidR="00420ED8" w:rsidRPr="008D6FEB">
        <w:t xml:space="preserve">etailed analysis </w:t>
      </w:r>
      <w:r w:rsidR="00420ED8" w:rsidRPr="008D6FEB">
        <w:rPr>
          <w:lang w:val="mi-NZ"/>
        </w:rPr>
        <w:t xml:space="preserve">into </w:t>
      </w:r>
      <w:r w:rsidR="00420ED8">
        <w:rPr>
          <w:lang w:val="mi-NZ"/>
        </w:rPr>
        <w:t xml:space="preserve">the variance difference </w:t>
      </w:r>
      <w:r w:rsidR="00420ED8" w:rsidRPr="008D6FEB">
        <w:rPr>
          <w:lang w:val="mi-NZ"/>
        </w:rPr>
        <w:t xml:space="preserve">between course and qualification completion rates </w:t>
      </w:r>
      <w:r>
        <w:rPr>
          <w:lang w:val="mi-NZ"/>
        </w:rPr>
        <w:t xml:space="preserve">should help </w:t>
      </w:r>
      <w:r w:rsidR="00420ED8">
        <w:rPr>
          <w:lang w:val="mi-NZ"/>
        </w:rPr>
        <w:t xml:space="preserve">to </w:t>
      </w:r>
      <w:r w:rsidR="00420ED8" w:rsidRPr="008D6FEB">
        <w:rPr>
          <w:lang w:val="mi-NZ"/>
        </w:rPr>
        <w:t>unde</w:t>
      </w:r>
      <w:r>
        <w:rPr>
          <w:lang w:val="mi-NZ"/>
        </w:rPr>
        <w:t>rstand the drivers for the variance.</w:t>
      </w:r>
    </w:p>
    <w:p w14:paraId="56B2C69F" w14:textId="77777777" w:rsidR="008B4767" w:rsidRDefault="00072A5A" w:rsidP="008B4767">
      <w:pPr>
        <w:pStyle w:val="Heading1"/>
      </w:pPr>
      <w:r>
        <w:br/>
      </w:r>
      <w:r w:rsidR="008B4767">
        <w:t>3.0 Cohort-based First Year Retention</w:t>
      </w:r>
    </w:p>
    <w:p w14:paraId="237A9B01" w14:textId="77777777" w:rsidR="008B4767" w:rsidRPr="00FA53F4" w:rsidRDefault="008B4767" w:rsidP="008B4767"/>
    <w:p w14:paraId="319935A7" w14:textId="77777777" w:rsidR="008B4767" w:rsidRDefault="008B4767" w:rsidP="008B4767">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The </w:t>
      </w:r>
      <w:r w:rsidRPr="00FA53F4">
        <w:rPr>
          <w:rFonts w:asciiTheme="minorHAnsi" w:eastAsiaTheme="minorHAnsi" w:hAnsiTheme="minorHAnsi" w:cstheme="minorBidi"/>
          <w:color w:val="auto"/>
          <w:sz w:val="22"/>
          <w:szCs w:val="22"/>
        </w:rPr>
        <w:t xml:space="preserve">Cohort-based first year retention rate </w:t>
      </w:r>
      <w:r>
        <w:rPr>
          <w:rFonts w:asciiTheme="minorHAnsi" w:eastAsiaTheme="minorHAnsi" w:hAnsiTheme="minorHAnsi" w:cstheme="minorBidi"/>
          <w:color w:val="auto"/>
          <w:sz w:val="22"/>
          <w:szCs w:val="22"/>
        </w:rPr>
        <w:t>is</w:t>
      </w:r>
      <w:r w:rsidRPr="00FA53F4">
        <w:rPr>
          <w:rFonts w:asciiTheme="minorHAnsi" w:eastAsiaTheme="minorHAnsi" w:hAnsiTheme="minorHAnsi" w:cstheme="minorBidi"/>
          <w:color w:val="auto"/>
          <w:sz w:val="22"/>
          <w:szCs w:val="22"/>
        </w:rPr>
        <w:t xml:space="preserve"> the proportion of students in a cohort who enrol in a qualification at the same level in the year after they enter the cohort. First year retention rates are measured for students who are enrolled in a 2 EFTS or above qualification at level 4 and above.</w:t>
      </w:r>
    </w:p>
    <w:p w14:paraId="5DAC1BA9" w14:textId="77777777" w:rsidR="008B4767" w:rsidRPr="00FA53F4" w:rsidRDefault="008B4767" w:rsidP="008B4767"/>
    <w:p w14:paraId="2EAE13FD" w14:textId="77777777" w:rsidR="008B4767" w:rsidRDefault="008B4767" w:rsidP="008B4767">
      <w:pPr>
        <w:pStyle w:val="Heading2"/>
      </w:pPr>
      <w:r>
        <w:t>3.1 Total Unitec</w:t>
      </w:r>
    </w:p>
    <w:p w14:paraId="67419278" w14:textId="091CEEBF" w:rsidR="008B4767" w:rsidRDefault="00314644" w:rsidP="008B4767">
      <w:r w:rsidRPr="00220F8A">
        <w:t xml:space="preserve">Overall Unitec’s First Year Retention Rate </w:t>
      </w:r>
      <w:r w:rsidR="00082BE3">
        <w:t>had</w:t>
      </w:r>
      <w:r>
        <w:t xml:space="preserve"> a slight</w:t>
      </w:r>
      <w:r w:rsidRPr="00220F8A">
        <w:t xml:space="preserve"> increase to 71.6% in 2018</w:t>
      </w:r>
      <w:r w:rsidR="008B4767" w:rsidRPr="00220F8A">
        <w:t xml:space="preserve">, from the </w:t>
      </w:r>
      <w:r w:rsidR="008B4767" w:rsidRPr="001C124D">
        <w:t>70.2%</w:t>
      </w:r>
      <w:r w:rsidR="008B4767" w:rsidRPr="00220F8A">
        <w:t xml:space="preserve"> </w:t>
      </w:r>
      <w:r w:rsidR="008C3AB2">
        <w:t>averaged</w:t>
      </w:r>
      <w:r w:rsidR="008B4767" w:rsidRPr="001C124D">
        <w:t xml:space="preserve"> over the previous three years. </w:t>
      </w:r>
      <w:r w:rsidR="008B4767" w:rsidRPr="00220F8A">
        <w:t>While the Investment Plan target of 66% has been easily achieved</w:t>
      </w:r>
      <w:r w:rsidR="008B4767">
        <w:t xml:space="preserve"> and the 71.4% </w:t>
      </w:r>
      <w:r w:rsidR="00072A5A">
        <w:t>was</w:t>
      </w:r>
      <w:r w:rsidR="008B4767">
        <w:t xml:space="preserve"> higher than the 2017 I</w:t>
      </w:r>
      <w:r w:rsidR="00072A5A">
        <w:t>TP Sector average of 61.6%, it was</w:t>
      </w:r>
      <w:r w:rsidR="008B4767">
        <w:t xml:space="preserve"> below the 2017 University Sector average of 78.4%. </w:t>
      </w:r>
    </w:p>
    <w:p w14:paraId="599D0352" w14:textId="77777777" w:rsidR="008B4767" w:rsidRDefault="008B4767" w:rsidP="008B4767">
      <w:r w:rsidRPr="006C78B4">
        <w:rPr>
          <w:noProof/>
          <w:lang w:eastAsia="en-NZ"/>
        </w:rPr>
        <w:lastRenderedPageBreak/>
        <w:drawing>
          <wp:anchor distT="0" distB="0" distL="114300" distR="114300" simplePos="0" relativeHeight="251661312" behindDoc="1" locked="0" layoutInCell="1" allowOverlap="1" wp14:anchorId="529273F9" wp14:editId="5777EAB4">
            <wp:simplePos x="0" y="0"/>
            <wp:positionH relativeFrom="margin">
              <wp:align>left</wp:align>
            </wp:positionH>
            <wp:positionV relativeFrom="paragraph">
              <wp:posOffset>0</wp:posOffset>
            </wp:positionV>
            <wp:extent cx="5088255" cy="2860243"/>
            <wp:effectExtent l="0" t="0" r="17145" b="1651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7795590C" w14:textId="77777777" w:rsidR="008B4767" w:rsidRDefault="008B4767" w:rsidP="008B4767"/>
    <w:p w14:paraId="37860FA8" w14:textId="77777777" w:rsidR="008B4767" w:rsidRDefault="008B4767" w:rsidP="008B4767"/>
    <w:p w14:paraId="2D1361E5" w14:textId="77777777" w:rsidR="008B4767" w:rsidRDefault="008B4767" w:rsidP="008B4767">
      <w:pPr>
        <w:pStyle w:val="Heading2"/>
      </w:pPr>
    </w:p>
    <w:p w14:paraId="5B9F5B11" w14:textId="77777777" w:rsidR="008B4767" w:rsidRDefault="008B4767" w:rsidP="008B4767"/>
    <w:p w14:paraId="0B7582F4" w14:textId="77777777" w:rsidR="008B4767" w:rsidRDefault="008B4767" w:rsidP="008B4767"/>
    <w:p w14:paraId="362D9412" w14:textId="77777777" w:rsidR="008B4767" w:rsidRDefault="00A3557D" w:rsidP="008B4767">
      <w:r>
        <w:rPr>
          <w:noProof/>
          <w:lang w:eastAsia="en-NZ"/>
        </w:rPr>
        <w:drawing>
          <wp:anchor distT="0" distB="0" distL="114300" distR="114300" simplePos="0" relativeHeight="251662336" behindDoc="0" locked="0" layoutInCell="1" allowOverlap="1" wp14:anchorId="2E73CDAA" wp14:editId="2BA5B72B">
            <wp:simplePos x="0" y="0"/>
            <wp:positionH relativeFrom="column">
              <wp:posOffset>4944415</wp:posOffset>
            </wp:positionH>
            <wp:positionV relativeFrom="paragraph">
              <wp:posOffset>27305</wp:posOffset>
            </wp:positionV>
            <wp:extent cx="523078" cy="82637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5687"/>
                    <a:stretch/>
                  </pic:blipFill>
                  <pic:spPr bwMode="auto">
                    <a:xfrm>
                      <a:off x="0" y="0"/>
                      <a:ext cx="523078" cy="8263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9650AE" w14:textId="77777777" w:rsidR="008B4767" w:rsidRDefault="008B4767" w:rsidP="008B4767"/>
    <w:p w14:paraId="5AA1EA64" w14:textId="77777777" w:rsidR="008B4767" w:rsidRDefault="008B4767" w:rsidP="008B4767"/>
    <w:p w14:paraId="10A9ED9A" w14:textId="77777777" w:rsidR="008B4767" w:rsidRDefault="008B4767" w:rsidP="008B4767"/>
    <w:p w14:paraId="620CD64E" w14:textId="77777777" w:rsidR="008B4767" w:rsidRDefault="008B4767" w:rsidP="008B4767"/>
    <w:p w14:paraId="2186525E" w14:textId="77777777" w:rsidR="00E968FC" w:rsidRPr="009F4ADE" w:rsidRDefault="00E968FC" w:rsidP="00E968FC">
      <w:pPr>
        <w:spacing w:before="240"/>
        <w:rPr>
          <w:rFonts w:asciiTheme="majorHAnsi" w:eastAsiaTheme="majorEastAsia" w:hAnsiTheme="majorHAnsi" w:cstheme="majorBidi"/>
          <w:color w:val="2E74B5" w:themeColor="accent1" w:themeShade="BF"/>
          <w:sz w:val="26"/>
          <w:szCs w:val="26"/>
        </w:rPr>
      </w:pPr>
      <w:r w:rsidRPr="009F4ADE">
        <w:rPr>
          <w:rFonts w:asciiTheme="majorHAnsi" w:eastAsiaTheme="majorEastAsia" w:hAnsiTheme="majorHAnsi" w:cstheme="majorBidi"/>
          <w:color w:val="2E74B5" w:themeColor="accent1" w:themeShade="BF"/>
          <w:sz w:val="26"/>
          <w:szCs w:val="26"/>
        </w:rPr>
        <w:t>3.2 Schools</w:t>
      </w:r>
    </w:p>
    <w:p w14:paraId="3912A66F" w14:textId="77777777" w:rsidR="008B4767" w:rsidRDefault="00E85DE9" w:rsidP="008B4767">
      <w:r>
        <w:t>Over the 4-year period, Creative Industries had the</w:t>
      </w:r>
      <w:r w:rsidR="00072A5A">
        <w:t xml:space="preserve"> largest jump (</w:t>
      </w:r>
      <w:r w:rsidR="00A3557D">
        <w:t>9.9%</w:t>
      </w:r>
      <w:r w:rsidR="00072A5A">
        <w:t>)</w:t>
      </w:r>
      <w:r w:rsidR="00A3557D">
        <w:t xml:space="preserve"> to </w:t>
      </w:r>
      <w:r>
        <w:t xml:space="preserve">83.3% in 2018. Building Construction with the highest </w:t>
      </w:r>
      <w:r w:rsidRPr="00220F8A">
        <w:t>EFTS of 948.4</w:t>
      </w:r>
      <w:r>
        <w:t xml:space="preserve"> lifted by 7.4% to </w:t>
      </w:r>
      <w:r w:rsidRPr="00220F8A">
        <w:t xml:space="preserve">achieve </w:t>
      </w:r>
      <w:r>
        <w:t>73</w:t>
      </w:r>
      <w:r w:rsidRPr="00220F8A">
        <w:t>% retention rate in 2018</w:t>
      </w:r>
      <w:r>
        <w:t>.</w:t>
      </w:r>
      <w:r w:rsidR="008B4767">
        <w:t xml:space="preserve"> </w:t>
      </w:r>
    </w:p>
    <w:tbl>
      <w:tblPr>
        <w:tblW w:w="9780" w:type="dxa"/>
        <w:tblBorders>
          <w:top w:val="single" w:sz="4" w:space="0" w:color="9BC2E6"/>
          <w:left w:val="single" w:sz="4" w:space="0" w:color="9BC2E6"/>
          <w:bottom w:val="single" w:sz="4" w:space="0" w:color="9BC2E6"/>
          <w:right w:val="single" w:sz="4" w:space="0" w:color="9BC2E6"/>
        </w:tblBorders>
        <w:tblLook w:val="04A0" w:firstRow="1" w:lastRow="0" w:firstColumn="1" w:lastColumn="0" w:noHBand="0" w:noVBand="1"/>
      </w:tblPr>
      <w:tblGrid>
        <w:gridCol w:w="3104"/>
        <w:gridCol w:w="1028"/>
        <w:gridCol w:w="800"/>
        <w:gridCol w:w="875"/>
        <w:gridCol w:w="875"/>
        <w:gridCol w:w="1248"/>
        <w:gridCol w:w="1017"/>
        <w:gridCol w:w="833"/>
      </w:tblGrid>
      <w:tr w:rsidR="008B4767" w:rsidRPr="007653CA" w14:paraId="5F91C09E" w14:textId="77777777" w:rsidTr="00A3557D">
        <w:trPr>
          <w:trHeight w:val="745"/>
        </w:trPr>
        <w:tc>
          <w:tcPr>
            <w:tcW w:w="9780" w:type="dxa"/>
            <w:gridSpan w:val="8"/>
            <w:shd w:val="clear" w:color="auto" w:fill="2E74B5" w:themeFill="accent1" w:themeFillShade="BF"/>
            <w:vAlign w:val="bottom"/>
          </w:tcPr>
          <w:p w14:paraId="1B87B257" w14:textId="77777777" w:rsidR="008B4767" w:rsidRPr="00A3557D" w:rsidRDefault="008B4767" w:rsidP="003100EE">
            <w:pPr>
              <w:spacing w:after="0" w:line="240" w:lineRule="auto"/>
              <w:jc w:val="center"/>
              <w:rPr>
                <w:rFonts w:ascii="Calibri" w:eastAsia="Times New Roman" w:hAnsi="Calibri" w:cs="Calibri"/>
                <w:b/>
                <w:bCs/>
                <w:color w:val="FFFFFF"/>
                <w:sz w:val="28"/>
                <w:szCs w:val="28"/>
                <w:lang w:eastAsia="en-NZ"/>
              </w:rPr>
            </w:pPr>
            <w:r w:rsidRPr="00A3557D">
              <w:rPr>
                <w:rFonts w:ascii="Calibri" w:eastAsia="Times New Roman" w:hAnsi="Calibri" w:cs="Calibri"/>
                <w:b/>
                <w:bCs/>
                <w:color w:val="FFFFFF"/>
                <w:sz w:val="28"/>
                <w:szCs w:val="28"/>
                <w:lang w:eastAsia="en-NZ"/>
              </w:rPr>
              <w:t>1</w:t>
            </w:r>
            <w:r w:rsidRPr="00A3557D">
              <w:rPr>
                <w:rFonts w:ascii="Calibri" w:eastAsia="Times New Roman" w:hAnsi="Calibri" w:cs="Calibri"/>
                <w:b/>
                <w:bCs/>
                <w:color w:val="FFFFFF"/>
                <w:sz w:val="28"/>
                <w:szCs w:val="28"/>
                <w:vertAlign w:val="superscript"/>
                <w:lang w:eastAsia="en-NZ"/>
              </w:rPr>
              <w:t>st</w:t>
            </w:r>
            <w:r w:rsidRPr="00A3557D">
              <w:rPr>
                <w:rFonts w:ascii="Calibri" w:eastAsia="Times New Roman" w:hAnsi="Calibri" w:cs="Calibri"/>
                <w:b/>
                <w:bCs/>
                <w:color w:val="FFFFFF"/>
                <w:sz w:val="28"/>
                <w:szCs w:val="28"/>
                <w:lang w:eastAsia="en-NZ"/>
              </w:rPr>
              <w:t xml:space="preserve"> Year Retention Rate, Variance and EFTS</w:t>
            </w:r>
          </w:p>
          <w:p w14:paraId="3FD1680E" w14:textId="77777777" w:rsidR="008B4767" w:rsidRDefault="008B4767" w:rsidP="003100EE">
            <w:pPr>
              <w:spacing w:after="0" w:line="240" w:lineRule="auto"/>
              <w:jc w:val="center"/>
              <w:rPr>
                <w:rFonts w:ascii="Calibri" w:eastAsia="Times New Roman" w:hAnsi="Calibri" w:cs="Calibri"/>
                <w:b/>
                <w:bCs/>
                <w:color w:val="FFFFFF"/>
                <w:lang w:eastAsia="en-NZ"/>
              </w:rPr>
            </w:pPr>
            <w:r>
              <w:rPr>
                <w:rFonts w:ascii="Calibri" w:eastAsia="Times New Roman" w:hAnsi="Calibri" w:cs="Calibri"/>
                <w:b/>
                <w:bCs/>
                <w:color w:val="FFFFFF"/>
                <w:lang w:eastAsia="en-NZ"/>
              </w:rPr>
              <w:t xml:space="preserve"> </w:t>
            </w:r>
          </w:p>
        </w:tc>
      </w:tr>
      <w:tr w:rsidR="008B4767" w:rsidRPr="007653CA" w14:paraId="01FA3EFC" w14:textId="77777777" w:rsidTr="00A3557D">
        <w:trPr>
          <w:trHeight w:val="838"/>
        </w:trPr>
        <w:tc>
          <w:tcPr>
            <w:tcW w:w="3104" w:type="dxa"/>
            <w:shd w:val="clear" w:color="auto" w:fill="2E74B5" w:themeFill="accent1" w:themeFillShade="BF"/>
            <w:vAlign w:val="bottom"/>
            <w:hideMark/>
          </w:tcPr>
          <w:p w14:paraId="75975DF0" w14:textId="77777777" w:rsidR="008B4767" w:rsidRPr="007653CA" w:rsidRDefault="008B4767" w:rsidP="003100EE">
            <w:pPr>
              <w:spacing w:after="0" w:line="240" w:lineRule="auto"/>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 xml:space="preserve">School </w:t>
            </w:r>
          </w:p>
        </w:tc>
        <w:tc>
          <w:tcPr>
            <w:tcW w:w="1028" w:type="dxa"/>
            <w:shd w:val="clear" w:color="auto" w:fill="2E74B5" w:themeFill="accent1" w:themeFillShade="BF"/>
            <w:vAlign w:val="bottom"/>
            <w:hideMark/>
          </w:tcPr>
          <w:p w14:paraId="4AFBB9A5" w14:textId="77777777" w:rsidR="008B4767" w:rsidRPr="007653CA" w:rsidRDefault="008B4767" w:rsidP="007F5345">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2015</w:t>
            </w:r>
          </w:p>
        </w:tc>
        <w:tc>
          <w:tcPr>
            <w:tcW w:w="800" w:type="dxa"/>
            <w:shd w:val="clear" w:color="auto" w:fill="2E74B5" w:themeFill="accent1" w:themeFillShade="BF"/>
            <w:vAlign w:val="bottom"/>
            <w:hideMark/>
          </w:tcPr>
          <w:p w14:paraId="360DD9B7" w14:textId="77777777" w:rsidR="008B4767" w:rsidRPr="007653CA" w:rsidRDefault="008B4767" w:rsidP="007F5345">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2016</w:t>
            </w:r>
          </w:p>
        </w:tc>
        <w:tc>
          <w:tcPr>
            <w:tcW w:w="875" w:type="dxa"/>
            <w:shd w:val="clear" w:color="auto" w:fill="2E74B5" w:themeFill="accent1" w:themeFillShade="BF"/>
            <w:vAlign w:val="bottom"/>
            <w:hideMark/>
          </w:tcPr>
          <w:p w14:paraId="4C66151A" w14:textId="77777777" w:rsidR="008B4767" w:rsidRPr="007653CA" w:rsidRDefault="008B4767" w:rsidP="007F5345">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2017</w:t>
            </w:r>
          </w:p>
        </w:tc>
        <w:tc>
          <w:tcPr>
            <w:tcW w:w="875" w:type="dxa"/>
            <w:tcBorders>
              <w:bottom w:val="nil"/>
            </w:tcBorders>
            <w:shd w:val="clear" w:color="auto" w:fill="2E74B5" w:themeFill="accent1" w:themeFillShade="BF"/>
            <w:vAlign w:val="bottom"/>
            <w:hideMark/>
          </w:tcPr>
          <w:p w14:paraId="03445533" w14:textId="77777777" w:rsidR="008B4767" w:rsidRPr="007653CA" w:rsidRDefault="008B4767" w:rsidP="007F5345">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2018</w:t>
            </w:r>
          </w:p>
        </w:tc>
        <w:tc>
          <w:tcPr>
            <w:tcW w:w="1248" w:type="dxa"/>
            <w:shd w:val="clear" w:color="auto" w:fill="2E74B5" w:themeFill="accent1" w:themeFillShade="BF"/>
            <w:vAlign w:val="bottom"/>
            <w:hideMark/>
          </w:tcPr>
          <w:p w14:paraId="6F853554" w14:textId="77777777" w:rsidR="008B4767" w:rsidRPr="007653CA" w:rsidRDefault="008B4767" w:rsidP="007F5345">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Variance between 2017 and 2018</w:t>
            </w:r>
          </w:p>
        </w:tc>
        <w:tc>
          <w:tcPr>
            <w:tcW w:w="1017" w:type="dxa"/>
            <w:shd w:val="clear" w:color="auto" w:fill="2E74B5" w:themeFill="accent1" w:themeFillShade="BF"/>
            <w:vAlign w:val="bottom"/>
            <w:hideMark/>
          </w:tcPr>
          <w:p w14:paraId="645BD35F" w14:textId="77777777" w:rsidR="008B4767" w:rsidRPr="007653CA" w:rsidRDefault="008B4767" w:rsidP="007F5345">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Variance over 4 years</w:t>
            </w:r>
          </w:p>
        </w:tc>
        <w:tc>
          <w:tcPr>
            <w:tcW w:w="833" w:type="dxa"/>
            <w:shd w:val="clear" w:color="auto" w:fill="2E74B5" w:themeFill="accent1" w:themeFillShade="BF"/>
            <w:vAlign w:val="bottom"/>
          </w:tcPr>
          <w:p w14:paraId="31C8DE05" w14:textId="77777777" w:rsidR="008B4767" w:rsidRPr="007653CA" w:rsidRDefault="008B4767" w:rsidP="007F5345">
            <w:pPr>
              <w:spacing w:after="0" w:line="240" w:lineRule="auto"/>
              <w:jc w:val="right"/>
              <w:rPr>
                <w:rFonts w:ascii="Calibri" w:eastAsia="Times New Roman" w:hAnsi="Calibri" w:cs="Calibri"/>
                <w:b/>
                <w:bCs/>
                <w:color w:val="FFFFFF"/>
                <w:lang w:eastAsia="en-NZ"/>
              </w:rPr>
            </w:pPr>
            <w:r>
              <w:rPr>
                <w:rFonts w:ascii="Calibri" w:eastAsia="Times New Roman" w:hAnsi="Calibri" w:cs="Calibri"/>
                <w:b/>
                <w:bCs/>
                <w:color w:val="FFFFFF"/>
                <w:lang w:eastAsia="en-NZ"/>
              </w:rPr>
              <w:t>EFTS 2018</w:t>
            </w:r>
          </w:p>
        </w:tc>
      </w:tr>
      <w:tr w:rsidR="008B4767" w:rsidRPr="007653CA" w14:paraId="6F902900" w14:textId="77777777" w:rsidTr="003100EE">
        <w:trPr>
          <w:trHeight w:val="300"/>
        </w:trPr>
        <w:tc>
          <w:tcPr>
            <w:tcW w:w="3104" w:type="dxa"/>
            <w:shd w:val="clear" w:color="DDEBF7" w:fill="DDEBF7"/>
            <w:noWrap/>
            <w:hideMark/>
          </w:tcPr>
          <w:p w14:paraId="784F02DD" w14:textId="77777777" w:rsidR="008B4767" w:rsidRPr="007653CA" w:rsidRDefault="008B4767" w:rsidP="003100EE">
            <w:pPr>
              <w:spacing w:after="0" w:line="240" w:lineRule="auto"/>
              <w:rPr>
                <w:rFonts w:ascii="Calibri" w:eastAsia="Times New Roman" w:hAnsi="Calibri" w:cs="Calibri"/>
                <w:color w:val="000000"/>
                <w:lang w:eastAsia="en-NZ"/>
              </w:rPr>
            </w:pPr>
            <w:r w:rsidRPr="00C75420">
              <w:rPr>
                <w:rFonts w:ascii="Calibri" w:eastAsia="Times New Roman" w:hAnsi="Calibri" w:cs="Calibri"/>
                <w:color w:val="000000"/>
                <w:lang w:eastAsia="en-NZ"/>
              </w:rPr>
              <w:t>Applied Business</w:t>
            </w:r>
          </w:p>
        </w:tc>
        <w:tc>
          <w:tcPr>
            <w:tcW w:w="1028" w:type="dxa"/>
            <w:shd w:val="clear" w:color="DDEBF7" w:fill="DDEBF7"/>
            <w:noWrap/>
            <w:hideMark/>
          </w:tcPr>
          <w:p w14:paraId="0A2DD6C5"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75.2%</w:t>
            </w:r>
          </w:p>
        </w:tc>
        <w:tc>
          <w:tcPr>
            <w:tcW w:w="800" w:type="dxa"/>
            <w:shd w:val="clear" w:color="DDEBF7" w:fill="DDEBF7"/>
            <w:noWrap/>
            <w:hideMark/>
          </w:tcPr>
          <w:p w14:paraId="1B94FF23"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68.8%</w:t>
            </w:r>
          </w:p>
        </w:tc>
        <w:tc>
          <w:tcPr>
            <w:tcW w:w="875" w:type="dxa"/>
            <w:shd w:val="clear" w:color="DDEBF7" w:fill="DDEBF7"/>
            <w:noWrap/>
            <w:hideMark/>
          </w:tcPr>
          <w:p w14:paraId="3E0CA4B4" w14:textId="77777777" w:rsidR="008B4767" w:rsidRPr="007653CA" w:rsidRDefault="008B4767" w:rsidP="00EB5842">
            <w:pPr>
              <w:spacing w:after="0" w:line="240" w:lineRule="auto"/>
              <w:jc w:val="right"/>
              <w:rPr>
                <w:rFonts w:ascii="Calibri" w:eastAsia="Times New Roman" w:hAnsi="Calibri" w:cs="Calibri"/>
                <w:color w:val="000000"/>
                <w:lang w:eastAsia="en-NZ"/>
              </w:rPr>
            </w:pPr>
            <w:r w:rsidRPr="0091752C">
              <w:t>78.2%</w:t>
            </w:r>
          </w:p>
        </w:tc>
        <w:tc>
          <w:tcPr>
            <w:tcW w:w="875" w:type="dxa"/>
            <w:tcBorders>
              <w:top w:val="nil"/>
              <w:bottom w:val="single" w:sz="4" w:space="0" w:color="auto"/>
            </w:tcBorders>
            <w:shd w:val="clear" w:color="auto" w:fill="FFF2CC" w:themeFill="accent4" w:themeFillTint="33"/>
            <w:noWrap/>
            <w:hideMark/>
          </w:tcPr>
          <w:p w14:paraId="06174FB5"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63.4%</w:t>
            </w:r>
          </w:p>
        </w:tc>
        <w:tc>
          <w:tcPr>
            <w:tcW w:w="1248" w:type="dxa"/>
            <w:shd w:val="clear" w:color="DDEBF7" w:fill="DDEBF7"/>
            <w:noWrap/>
            <w:hideMark/>
          </w:tcPr>
          <w:p w14:paraId="47597CB7"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-14.8%</w:t>
            </w:r>
          </w:p>
        </w:tc>
        <w:tc>
          <w:tcPr>
            <w:tcW w:w="1017" w:type="dxa"/>
            <w:shd w:val="clear" w:color="DDEBF7" w:fill="DDEBF7"/>
            <w:noWrap/>
            <w:hideMark/>
          </w:tcPr>
          <w:p w14:paraId="4F124787"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-11.8%</w:t>
            </w:r>
          </w:p>
        </w:tc>
        <w:tc>
          <w:tcPr>
            <w:tcW w:w="833" w:type="dxa"/>
            <w:shd w:val="clear" w:color="DDEBF7" w:fill="DDEBF7"/>
            <w:vAlign w:val="bottom"/>
          </w:tcPr>
          <w:p w14:paraId="0B4EF816"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740.3</w:t>
            </w:r>
          </w:p>
        </w:tc>
      </w:tr>
      <w:tr w:rsidR="008B4767" w:rsidRPr="007653CA" w14:paraId="61467754" w14:textId="77777777" w:rsidTr="003100EE">
        <w:trPr>
          <w:trHeight w:val="300"/>
        </w:trPr>
        <w:tc>
          <w:tcPr>
            <w:tcW w:w="3104" w:type="dxa"/>
            <w:shd w:val="clear" w:color="auto" w:fill="auto"/>
            <w:noWrap/>
            <w:hideMark/>
          </w:tcPr>
          <w:p w14:paraId="0881CA02" w14:textId="77777777" w:rsidR="008B4767" w:rsidRPr="007653CA" w:rsidRDefault="008B4767" w:rsidP="003100EE">
            <w:pPr>
              <w:spacing w:after="0" w:line="240" w:lineRule="auto"/>
              <w:rPr>
                <w:rFonts w:ascii="Calibri" w:eastAsia="Times New Roman" w:hAnsi="Calibri" w:cs="Calibri"/>
                <w:color w:val="000000"/>
                <w:lang w:eastAsia="en-NZ"/>
              </w:rPr>
            </w:pPr>
            <w:r w:rsidRPr="00C75420">
              <w:rPr>
                <w:rFonts w:ascii="Calibri" w:eastAsia="Times New Roman" w:hAnsi="Calibri" w:cs="Calibri"/>
                <w:color w:val="000000"/>
                <w:lang w:eastAsia="en-NZ"/>
              </w:rPr>
              <w:t>Architecture</w:t>
            </w:r>
          </w:p>
        </w:tc>
        <w:tc>
          <w:tcPr>
            <w:tcW w:w="1028" w:type="dxa"/>
            <w:shd w:val="clear" w:color="auto" w:fill="auto"/>
            <w:noWrap/>
            <w:hideMark/>
          </w:tcPr>
          <w:p w14:paraId="762F5C81"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68.2%</w:t>
            </w:r>
          </w:p>
        </w:tc>
        <w:tc>
          <w:tcPr>
            <w:tcW w:w="800" w:type="dxa"/>
            <w:shd w:val="clear" w:color="auto" w:fill="auto"/>
            <w:noWrap/>
            <w:hideMark/>
          </w:tcPr>
          <w:p w14:paraId="11FCC065"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61.6%</w:t>
            </w:r>
          </w:p>
        </w:tc>
        <w:tc>
          <w:tcPr>
            <w:tcW w:w="875" w:type="dxa"/>
            <w:shd w:val="clear" w:color="auto" w:fill="auto"/>
            <w:noWrap/>
            <w:hideMark/>
          </w:tcPr>
          <w:p w14:paraId="286D9C2A" w14:textId="77777777" w:rsidR="008B4767" w:rsidRPr="007653CA" w:rsidRDefault="008B4767" w:rsidP="00EB5842">
            <w:pPr>
              <w:spacing w:after="0" w:line="240" w:lineRule="auto"/>
              <w:jc w:val="right"/>
              <w:rPr>
                <w:rFonts w:ascii="Calibri" w:eastAsia="Times New Roman" w:hAnsi="Calibri" w:cs="Calibri"/>
                <w:color w:val="000000"/>
                <w:lang w:eastAsia="en-NZ"/>
              </w:rPr>
            </w:pPr>
            <w:r w:rsidRPr="0091752C">
              <w:t>75.7%</w:t>
            </w:r>
          </w:p>
        </w:tc>
        <w:tc>
          <w:tcPr>
            <w:tcW w:w="875" w:type="dxa"/>
            <w:tcBorders>
              <w:top w:val="single" w:sz="4" w:space="0" w:color="auto"/>
            </w:tcBorders>
            <w:shd w:val="clear" w:color="auto" w:fill="auto"/>
            <w:noWrap/>
            <w:hideMark/>
          </w:tcPr>
          <w:p w14:paraId="100CB6F3"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74.8%</w:t>
            </w:r>
          </w:p>
        </w:tc>
        <w:tc>
          <w:tcPr>
            <w:tcW w:w="1248" w:type="dxa"/>
            <w:shd w:val="clear" w:color="auto" w:fill="auto"/>
            <w:noWrap/>
            <w:hideMark/>
          </w:tcPr>
          <w:p w14:paraId="52D34AE3"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-0.9%</w:t>
            </w:r>
          </w:p>
        </w:tc>
        <w:tc>
          <w:tcPr>
            <w:tcW w:w="1017" w:type="dxa"/>
            <w:shd w:val="clear" w:color="auto" w:fill="auto"/>
            <w:noWrap/>
            <w:hideMark/>
          </w:tcPr>
          <w:p w14:paraId="0EECD2AA"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6.6%</w:t>
            </w:r>
          </w:p>
        </w:tc>
        <w:tc>
          <w:tcPr>
            <w:tcW w:w="833" w:type="dxa"/>
            <w:vAlign w:val="bottom"/>
          </w:tcPr>
          <w:p w14:paraId="2E5A8253"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585.1</w:t>
            </w:r>
          </w:p>
        </w:tc>
      </w:tr>
      <w:tr w:rsidR="008B4767" w:rsidRPr="007653CA" w14:paraId="183B9B5C" w14:textId="77777777" w:rsidTr="003100EE">
        <w:trPr>
          <w:trHeight w:val="300"/>
        </w:trPr>
        <w:tc>
          <w:tcPr>
            <w:tcW w:w="3104" w:type="dxa"/>
            <w:shd w:val="clear" w:color="DDEBF7" w:fill="DDEBF7"/>
            <w:noWrap/>
            <w:hideMark/>
          </w:tcPr>
          <w:p w14:paraId="675CAECD" w14:textId="77777777" w:rsidR="008B4767" w:rsidRPr="007653CA" w:rsidRDefault="008B4767" w:rsidP="003100EE">
            <w:pPr>
              <w:spacing w:after="0" w:line="240" w:lineRule="auto"/>
              <w:rPr>
                <w:rFonts w:ascii="Calibri" w:eastAsia="Times New Roman" w:hAnsi="Calibri" w:cs="Calibri"/>
                <w:color w:val="000000"/>
                <w:lang w:eastAsia="en-NZ"/>
              </w:rPr>
            </w:pPr>
            <w:r w:rsidRPr="00C75420">
              <w:rPr>
                <w:rFonts w:ascii="Calibri" w:eastAsia="Times New Roman" w:hAnsi="Calibri" w:cs="Calibri"/>
                <w:color w:val="000000"/>
                <w:lang w:eastAsia="en-NZ"/>
              </w:rPr>
              <w:t>Bridgepoint</w:t>
            </w:r>
          </w:p>
        </w:tc>
        <w:tc>
          <w:tcPr>
            <w:tcW w:w="1028" w:type="dxa"/>
            <w:shd w:val="clear" w:color="DDEBF7" w:fill="DDEBF7"/>
            <w:noWrap/>
            <w:hideMark/>
          </w:tcPr>
          <w:p w14:paraId="69AACDC7"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64.3%</w:t>
            </w:r>
          </w:p>
        </w:tc>
        <w:tc>
          <w:tcPr>
            <w:tcW w:w="800" w:type="dxa"/>
            <w:shd w:val="clear" w:color="DDEBF7" w:fill="DDEBF7"/>
            <w:noWrap/>
            <w:hideMark/>
          </w:tcPr>
          <w:p w14:paraId="58A54D4B"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71.4%</w:t>
            </w:r>
          </w:p>
        </w:tc>
        <w:tc>
          <w:tcPr>
            <w:tcW w:w="875" w:type="dxa"/>
            <w:shd w:val="clear" w:color="DDEBF7" w:fill="DDEBF7"/>
            <w:noWrap/>
            <w:hideMark/>
          </w:tcPr>
          <w:p w14:paraId="589315B4" w14:textId="77777777" w:rsidR="008B4767" w:rsidRPr="007653CA" w:rsidRDefault="008B4767" w:rsidP="00EB5842">
            <w:pPr>
              <w:spacing w:after="0" w:line="240" w:lineRule="auto"/>
              <w:jc w:val="right"/>
              <w:rPr>
                <w:rFonts w:ascii="Calibri" w:eastAsia="Times New Roman" w:hAnsi="Calibri" w:cs="Calibri"/>
                <w:color w:val="000000"/>
                <w:lang w:eastAsia="en-NZ"/>
              </w:rPr>
            </w:pPr>
            <w:r w:rsidRPr="0091752C">
              <w:t>91.7%</w:t>
            </w:r>
          </w:p>
        </w:tc>
        <w:tc>
          <w:tcPr>
            <w:tcW w:w="875" w:type="dxa"/>
            <w:shd w:val="clear" w:color="DDEBF7" w:fill="DDEBF7"/>
            <w:noWrap/>
            <w:hideMark/>
          </w:tcPr>
          <w:p w14:paraId="1DB483F8"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100.0%</w:t>
            </w:r>
          </w:p>
        </w:tc>
        <w:tc>
          <w:tcPr>
            <w:tcW w:w="1248" w:type="dxa"/>
            <w:shd w:val="clear" w:color="DDEBF7" w:fill="DDEBF7"/>
            <w:noWrap/>
            <w:hideMark/>
          </w:tcPr>
          <w:p w14:paraId="313771F3"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8.3%</w:t>
            </w:r>
          </w:p>
        </w:tc>
        <w:tc>
          <w:tcPr>
            <w:tcW w:w="1017" w:type="dxa"/>
            <w:shd w:val="clear" w:color="auto" w:fill="D9E2F3" w:themeFill="accent5" w:themeFillTint="33"/>
            <w:noWrap/>
            <w:hideMark/>
          </w:tcPr>
          <w:p w14:paraId="371B3B3D" w14:textId="77777777" w:rsidR="008B4767" w:rsidRPr="007653CA" w:rsidRDefault="008B4767" w:rsidP="003100EE">
            <w:pPr>
              <w:spacing w:after="0" w:line="240" w:lineRule="auto"/>
              <w:jc w:val="right"/>
              <w:rPr>
                <w:rFonts w:ascii="Calibri" w:eastAsia="Times New Roman" w:hAnsi="Calibri" w:cs="Calibri"/>
                <w:color w:val="006100"/>
                <w:lang w:eastAsia="en-NZ"/>
              </w:rPr>
            </w:pPr>
            <w:r w:rsidRPr="0091752C">
              <w:t>35.7%</w:t>
            </w:r>
          </w:p>
        </w:tc>
        <w:tc>
          <w:tcPr>
            <w:tcW w:w="833" w:type="dxa"/>
            <w:shd w:val="clear" w:color="auto" w:fill="D9E2F3" w:themeFill="accent5" w:themeFillTint="33"/>
            <w:vAlign w:val="bottom"/>
          </w:tcPr>
          <w:p w14:paraId="2ABC6356" w14:textId="77777777" w:rsidR="008B4767" w:rsidRPr="007653CA" w:rsidRDefault="008B4767" w:rsidP="003100EE">
            <w:pPr>
              <w:spacing w:after="0" w:line="240" w:lineRule="auto"/>
              <w:jc w:val="right"/>
              <w:rPr>
                <w:rFonts w:ascii="Calibri" w:eastAsia="Times New Roman" w:hAnsi="Calibri" w:cs="Calibri"/>
                <w:lang w:eastAsia="en-NZ"/>
              </w:rPr>
            </w:pPr>
            <w:r w:rsidRPr="00CD4B9B">
              <w:rPr>
                <w:rFonts w:ascii="Calibri" w:eastAsia="Times New Roman" w:hAnsi="Calibri" w:cs="Calibri"/>
                <w:color w:val="000000"/>
                <w:lang w:eastAsia="en-NZ"/>
              </w:rPr>
              <w:t>725.8</w:t>
            </w:r>
          </w:p>
        </w:tc>
      </w:tr>
      <w:tr w:rsidR="008B4767" w:rsidRPr="007653CA" w14:paraId="3683260C" w14:textId="77777777" w:rsidTr="003100EE">
        <w:trPr>
          <w:trHeight w:val="300"/>
        </w:trPr>
        <w:tc>
          <w:tcPr>
            <w:tcW w:w="3104" w:type="dxa"/>
            <w:shd w:val="clear" w:color="auto" w:fill="auto"/>
            <w:noWrap/>
            <w:hideMark/>
          </w:tcPr>
          <w:p w14:paraId="41C3C5FA" w14:textId="77777777" w:rsidR="008B4767" w:rsidRPr="007653CA" w:rsidRDefault="008B4767" w:rsidP="003100EE">
            <w:pPr>
              <w:spacing w:after="0" w:line="240" w:lineRule="auto"/>
              <w:rPr>
                <w:rFonts w:ascii="Calibri" w:eastAsia="Times New Roman" w:hAnsi="Calibri" w:cs="Calibri"/>
                <w:color w:val="000000"/>
                <w:lang w:eastAsia="en-NZ"/>
              </w:rPr>
            </w:pPr>
            <w:r w:rsidRPr="00C75420">
              <w:rPr>
                <w:rFonts w:ascii="Calibri" w:eastAsia="Times New Roman" w:hAnsi="Calibri" w:cs="Calibri"/>
                <w:color w:val="000000"/>
                <w:lang w:eastAsia="en-NZ"/>
              </w:rPr>
              <w:t>Building Construction</w:t>
            </w:r>
          </w:p>
        </w:tc>
        <w:tc>
          <w:tcPr>
            <w:tcW w:w="1028" w:type="dxa"/>
            <w:shd w:val="clear" w:color="auto" w:fill="auto"/>
            <w:noWrap/>
            <w:hideMark/>
          </w:tcPr>
          <w:p w14:paraId="0E8EF272"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65.6%</w:t>
            </w:r>
          </w:p>
        </w:tc>
        <w:tc>
          <w:tcPr>
            <w:tcW w:w="800" w:type="dxa"/>
            <w:shd w:val="clear" w:color="auto" w:fill="auto"/>
            <w:noWrap/>
            <w:hideMark/>
          </w:tcPr>
          <w:p w14:paraId="1CF7C51A"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64.8%</w:t>
            </w:r>
          </w:p>
        </w:tc>
        <w:tc>
          <w:tcPr>
            <w:tcW w:w="875" w:type="dxa"/>
            <w:shd w:val="clear" w:color="auto" w:fill="auto"/>
            <w:noWrap/>
            <w:hideMark/>
          </w:tcPr>
          <w:p w14:paraId="68512712" w14:textId="77777777" w:rsidR="008B4767" w:rsidRPr="007653CA" w:rsidRDefault="008B4767" w:rsidP="00EB5842">
            <w:pPr>
              <w:spacing w:after="0" w:line="240" w:lineRule="auto"/>
              <w:jc w:val="right"/>
              <w:rPr>
                <w:rFonts w:ascii="Calibri" w:eastAsia="Times New Roman" w:hAnsi="Calibri" w:cs="Calibri"/>
                <w:color w:val="000000"/>
                <w:lang w:eastAsia="en-NZ"/>
              </w:rPr>
            </w:pPr>
            <w:r w:rsidRPr="0091752C">
              <w:t>73.3%</w:t>
            </w:r>
          </w:p>
        </w:tc>
        <w:tc>
          <w:tcPr>
            <w:tcW w:w="875" w:type="dxa"/>
            <w:shd w:val="clear" w:color="auto" w:fill="auto"/>
            <w:noWrap/>
            <w:hideMark/>
          </w:tcPr>
          <w:p w14:paraId="0C54D953"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73.0%</w:t>
            </w:r>
          </w:p>
        </w:tc>
        <w:tc>
          <w:tcPr>
            <w:tcW w:w="1248" w:type="dxa"/>
            <w:shd w:val="clear" w:color="auto" w:fill="auto"/>
            <w:noWrap/>
            <w:hideMark/>
          </w:tcPr>
          <w:p w14:paraId="2E21FB54"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-0.3%</w:t>
            </w:r>
          </w:p>
        </w:tc>
        <w:tc>
          <w:tcPr>
            <w:tcW w:w="1017" w:type="dxa"/>
            <w:shd w:val="clear" w:color="auto" w:fill="auto"/>
            <w:noWrap/>
            <w:hideMark/>
          </w:tcPr>
          <w:p w14:paraId="68B38581"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7.4%</w:t>
            </w:r>
          </w:p>
        </w:tc>
        <w:tc>
          <w:tcPr>
            <w:tcW w:w="833" w:type="dxa"/>
            <w:vAlign w:val="bottom"/>
          </w:tcPr>
          <w:p w14:paraId="4A158459"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948.4</w:t>
            </w:r>
          </w:p>
        </w:tc>
      </w:tr>
      <w:tr w:rsidR="008B4767" w:rsidRPr="007653CA" w14:paraId="018BC9B4" w14:textId="77777777" w:rsidTr="003100EE">
        <w:trPr>
          <w:trHeight w:val="300"/>
        </w:trPr>
        <w:tc>
          <w:tcPr>
            <w:tcW w:w="3104" w:type="dxa"/>
            <w:shd w:val="clear" w:color="DDEBF7" w:fill="DDEBF7"/>
            <w:noWrap/>
            <w:hideMark/>
          </w:tcPr>
          <w:p w14:paraId="60575A6C" w14:textId="77777777" w:rsidR="008B4767" w:rsidRPr="007653CA" w:rsidRDefault="008B4767" w:rsidP="003100EE">
            <w:pPr>
              <w:spacing w:after="0" w:line="240" w:lineRule="auto"/>
              <w:rPr>
                <w:rFonts w:ascii="Calibri" w:eastAsia="Times New Roman" w:hAnsi="Calibri" w:cs="Calibri"/>
                <w:color w:val="000000"/>
                <w:lang w:eastAsia="en-NZ"/>
              </w:rPr>
            </w:pPr>
            <w:r w:rsidRPr="00C75420">
              <w:rPr>
                <w:rFonts w:ascii="Calibri" w:eastAsia="Times New Roman" w:hAnsi="Calibri" w:cs="Calibri"/>
                <w:color w:val="000000"/>
                <w:lang w:eastAsia="en-NZ"/>
              </w:rPr>
              <w:t>Community Studies</w:t>
            </w:r>
          </w:p>
        </w:tc>
        <w:tc>
          <w:tcPr>
            <w:tcW w:w="1028" w:type="dxa"/>
            <w:shd w:val="clear" w:color="DDEBF7" w:fill="DDEBF7"/>
            <w:noWrap/>
            <w:hideMark/>
          </w:tcPr>
          <w:p w14:paraId="1234C6B1"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68.1%</w:t>
            </w:r>
          </w:p>
        </w:tc>
        <w:tc>
          <w:tcPr>
            <w:tcW w:w="800" w:type="dxa"/>
            <w:shd w:val="clear" w:color="DDEBF7" w:fill="DDEBF7"/>
            <w:noWrap/>
            <w:hideMark/>
          </w:tcPr>
          <w:p w14:paraId="0DB72588"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64.7%</w:t>
            </w:r>
          </w:p>
        </w:tc>
        <w:tc>
          <w:tcPr>
            <w:tcW w:w="875" w:type="dxa"/>
            <w:shd w:val="clear" w:color="DDEBF7" w:fill="DDEBF7"/>
            <w:noWrap/>
            <w:hideMark/>
          </w:tcPr>
          <w:p w14:paraId="462792D8" w14:textId="77777777" w:rsidR="008B4767" w:rsidRPr="007653CA" w:rsidRDefault="008B4767" w:rsidP="00EB5842">
            <w:pPr>
              <w:spacing w:after="0" w:line="240" w:lineRule="auto"/>
              <w:jc w:val="right"/>
              <w:rPr>
                <w:rFonts w:ascii="Calibri" w:eastAsia="Times New Roman" w:hAnsi="Calibri" w:cs="Calibri"/>
                <w:color w:val="000000"/>
                <w:lang w:eastAsia="en-NZ"/>
              </w:rPr>
            </w:pPr>
            <w:r w:rsidRPr="0091752C">
              <w:t>57.9%</w:t>
            </w:r>
          </w:p>
        </w:tc>
        <w:tc>
          <w:tcPr>
            <w:tcW w:w="875" w:type="dxa"/>
            <w:shd w:val="clear" w:color="DDEBF7" w:fill="DDEBF7"/>
            <w:noWrap/>
            <w:hideMark/>
          </w:tcPr>
          <w:p w14:paraId="77394A66"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69.9%</w:t>
            </w:r>
          </w:p>
        </w:tc>
        <w:tc>
          <w:tcPr>
            <w:tcW w:w="1248" w:type="dxa"/>
            <w:shd w:val="clear" w:color="DDEBF7" w:fill="DDEBF7"/>
            <w:noWrap/>
            <w:hideMark/>
          </w:tcPr>
          <w:p w14:paraId="6BE81467"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12.0%</w:t>
            </w:r>
          </w:p>
        </w:tc>
        <w:tc>
          <w:tcPr>
            <w:tcW w:w="1017" w:type="dxa"/>
            <w:shd w:val="clear" w:color="DDEBF7" w:fill="DDEBF7"/>
            <w:noWrap/>
            <w:hideMark/>
          </w:tcPr>
          <w:p w14:paraId="41639C3E"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1.9%</w:t>
            </w:r>
          </w:p>
        </w:tc>
        <w:tc>
          <w:tcPr>
            <w:tcW w:w="833" w:type="dxa"/>
            <w:shd w:val="clear" w:color="DDEBF7" w:fill="DDEBF7"/>
            <w:vAlign w:val="bottom"/>
          </w:tcPr>
          <w:p w14:paraId="256DD4DC"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341.3</w:t>
            </w:r>
          </w:p>
        </w:tc>
      </w:tr>
      <w:tr w:rsidR="008B4767" w:rsidRPr="007653CA" w14:paraId="60355C01" w14:textId="77777777" w:rsidTr="003100EE">
        <w:trPr>
          <w:trHeight w:val="300"/>
        </w:trPr>
        <w:tc>
          <w:tcPr>
            <w:tcW w:w="3104" w:type="dxa"/>
            <w:shd w:val="clear" w:color="auto" w:fill="auto"/>
            <w:noWrap/>
            <w:hideMark/>
          </w:tcPr>
          <w:p w14:paraId="6AC5A055" w14:textId="77777777" w:rsidR="008B4767" w:rsidRPr="007653CA" w:rsidRDefault="008B4767" w:rsidP="003100EE">
            <w:pPr>
              <w:spacing w:after="0" w:line="240" w:lineRule="auto"/>
              <w:rPr>
                <w:rFonts w:ascii="Calibri" w:eastAsia="Times New Roman" w:hAnsi="Calibri" w:cs="Calibri"/>
                <w:color w:val="000000"/>
                <w:lang w:eastAsia="en-NZ"/>
              </w:rPr>
            </w:pPr>
            <w:r w:rsidRPr="00C75420">
              <w:rPr>
                <w:rFonts w:ascii="Calibri" w:eastAsia="Times New Roman" w:hAnsi="Calibri" w:cs="Calibri"/>
                <w:color w:val="000000"/>
                <w:lang w:eastAsia="en-NZ"/>
              </w:rPr>
              <w:t>Computing &amp; Information Technology</w:t>
            </w:r>
          </w:p>
        </w:tc>
        <w:tc>
          <w:tcPr>
            <w:tcW w:w="1028" w:type="dxa"/>
            <w:shd w:val="clear" w:color="auto" w:fill="auto"/>
            <w:noWrap/>
            <w:hideMark/>
          </w:tcPr>
          <w:p w14:paraId="3AA4C196"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73.3%</w:t>
            </w:r>
          </w:p>
        </w:tc>
        <w:tc>
          <w:tcPr>
            <w:tcW w:w="800" w:type="dxa"/>
            <w:shd w:val="clear" w:color="auto" w:fill="auto"/>
            <w:noWrap/>
            <w:hideMark/>
          </w:tcPr>
          <w:p w14:paraId="5DA35B4D"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72.2%</w:t>
            </w:r>
          </w:p>
        </w:tc>
        <w:tc>
          <w:tcPr>
            <w:tcW w:w="875" w:type="dxa"/>
            <w:shd w:val="clear" w:color="auto" w:fill="auto"/>
            <w:noWrap/>
            <w:hideMark/>
          </w:tcPr>
          <w:p w14:paraId="5EF28192" w14:textId="77777777" w:rsidR="008B4767" w:rsidRPr="007653CA" w:rsidRDefault="008B4767" w:rsidP="00EB5842">
            <w:pPr>
              <w:spacing w:after="0" w:line="240" w:lineRule="auto"/>
              <w:jc w:val="right"/>
              <w:rPr>
                <w:rFonts w:ascii="Calibri" w:eastAsia="Times New Roman" w:hAnsi="Calibri" w:cs="Calibri"/>
                <w:color w:val="000000"/>
                <w:lang w:eastAsia="en-NZ"/>
              </w:rPr>
            </w:pPr>
            <w:r w:rsidRPr="0091752C">
              <w:t>72.9%</w:t>
            </w:r>
          </w:p>
        </w:tc>
        <w:tc>
          <w:tcPr>
            <w:tcW w:w="875" w:type="dxa"/>
            <w:shd w:val="clear" w:color="auto" w:fill="auto"/>
            <w:noWrap/>
            <w:hideMark/>
          </w:tcPr>
          <w:p w14:paraId="1861ADC3"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74.9%</w:t>
            </w:r>
          </w:p>
        </w:tc>
        <w:tc>
          <w:tcPr>
            <w:tcW w:w="1248" w:type="dxa"/>
            <w:shd w:val="clear" w:color="auto" w:fill="auto"/>
            <w:noWrap/>
            <w:hideMark/>
          </w:tcPr>
          <w:p w14:paraId="7653BEA5"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2.0%</w:t>
            </w:r>
          </w:p>
        </w:tc>
        <w:tc>
          <w:tcPr>
            <w:tcW w:w="1017" w:type="dxa"/>
            <w:shd w:val="clear" w:color="auto" w:fill="auto"/>
            <w:noWrap/>
            <w:hideMark/>
          </w:tcPr>
          <w:p w14:paraId="05C5B19D"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1.5%</w:t>
            </w:r>
          </w:p>
        </w:tc>
        <w:tc>
          <w:tcPr>
            <w:tcW w:w="833" w:type="dxa"/>
            <w:vAlign w:val="bottom"/>
          </w:tcPr>
          <w:p w14:paraId="0C3B7648"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562.4</w:t>
            </w:r>
          </w:p>
        </w:tc>
      </w:tr>
      <w:tr w:rsidR="008B4767" w:rsidRPr="007653CA" w14:paraId="03E50460" w14:textId="77777777" w:rsidTr="003100EE">
        <w:trPr>
          <w:trHeight w:val="300"/>
        </w:trPr>
        <w:tc>
          <w:tcPr>
            <w:tcW w:w="3104" w:type="dxa"/>
            <w:shd w:val="clear" w:color="DDEBF7" w:fill="DDEBF7"/>
            <w:noWrap/>
            <w:hideMark/>
          </w:tcPr>
          <w:p w14:paraId="7A1786E0" w14:textId="77777777" w:rsidR="008B4767" w:rsidRPr="007653CA" w:rsidRDefault="008B4767" w:rsidP="003100EE">
            <w:pPr>
              <w:spacing w:after="0" w:line="240" w:lineRule="auto"/>
              <w:rPr>
                <w:rFonts w:ascii="Calibri" w:eastAsia="Times New Roman" w:hAnsi="Calibri" w:cs="Calibri"/>
                <w:color w:val="000000"/>
                <w:lang w:eastAsia="en-NZ"/>
              </w:rPr>
            </w:pPr>
            <w:r w:rsidRPr="00C75420">
              <w:rPr>
                <w:rFonts w:ascii="Calibri" w:eastAsia="Times New Roman" w:hAnsi="Calibri" w:cs="Calibri"/>
                <w:color w:val="000000"/>
                <w:lang w:eastAsia="en-NZ"/>
              </w:rPr>
              <w:t>Creative Industries</w:t>
            </w:r>
          </w:p>
        </w:tc>
        <w:tc>
          <w:tcPr>
            <w:tcW w:w="1028" w:type="dxa"/>
            <w:shd w:val="clear" w:color="DDEBF7" w:fill="DDEBF7"/>
            <w:noWrap/>
            <w:hideMark/>
          </w:tcPr>
          <w:p w14:paraId="739E2A85"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73.4%</w:t>
            </w:r>
          </w:p>
        </w:tc>
        <w:tc>
          <w:tcPr>
            <w:tcW w:w="800" w:type="dxa"/>
            <w:shd w:val="clear" w:color="DDEBF7" w:fill="DDEBF7"/>
            <w:noWrap/>
            <w:hideMark/>
          </w:tcPr>
          <w:p w14:paraId="15D226EE"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79.5%</w:t>
            </w:r>
          </w:p>
        </w:tc>
        <w:tc>
          <w:tcPr>
            <w:tcW w:w="875" w:type="dxa"/>
            <w:shd w:val="clear" w:color="DDEBF7" w:fill="DDEBF7"/>
            <w:noWrap/>
            <w:hideMark/>
          </w:tcPr>
          <w:p w14:paraId="3A2C409E" w14:textId="77777777" w:rsidR="008B4767" w:rsidRPr="007653CA" w:rsidRDefault="008B4767" w:rsidP="00EB5842">
            <w:pPr>
              <w:spacing w:after="0" w:line="240" w:lineRule="auto"/>
              <w:jc w:val="right"/>
              <w:rPr>
                <w:rFonts w:ascii="Calibri" w:eastAsia="Times New Roman" w:hAnsi="Calibri" w:cs="Calibri"/>
                <w:color w:val="000000"/>
                <w:lang w:eastAsia="en-NZ"/>
              </w:rPr>
            </w:pPr>
            <w:r w:rsidRPr="0091752C">
              <w:t>70.3%</w:t>
            </w:r>
          </w:p>
        </w:tc>
        <w:tc>
          <w:tcPr>
            <w:tcW w:w="875" w:type="dxa"/>
            <w:shd w:val="clear" w:color="DDEBF7" w:fill="DDEBF7"/>
            <w:noWrap/>
            <w:hideMark/>
          </w:tcPr>
          <w:p w14:paraId="4EB7C42A"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83.3%</w:t>
            </w:r>
          </w:p>
        </w:tc>
        <w:tc>
          <w:tcPr>
            <w:tcW w:w="1248" w:type="dxa"/>
            <w:shd w:val="clear" w:color="DDEBF7" w:fill="DDEBF7"/>
            <w:noWrap/>
            <w:hideMark/>
          </w:tcPr>
          <w:p w14:paraId="7AED6622"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13.0%</w:t>
            </w:r>
          </w:p>
        </w:tc>
        <w:tc>
          <w:tcPr>
            <w:tcW w:w="1017" w:type="dxa"/>
            <w:shd w:val="clear" w:color="DDEBF7" w:fill="DDEBF7"/>
            <w:noWrap/>
            <w:hideMark/>
          </w:tcPr>
          <w:p w14:paraId="00740F41"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9.9%</w:t>
            </w:r>
          </w:p>
        </w:tc>
        <w:tc>
          <w:tcPr>
            <w:tcW w:w="833" w:type="dxa"/>
            <w:shd w:val="clear" w:color="DDEBF7" w:fill="DDEBF7"/>
            <w:vAlign w:val="bottom"/>
          </w:tcPr>
          <w:p w14:paraId="7F79EF79"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397.4</w:t>
            </w:r>
          </w:p>
        </w:tc>
      </w:tr>
      <w:tr w:rsidR="008B4767" w:rsidRPr="007653CA" w14:paraId="262AC312" w14:textId="77777777" w:rsidTr="003100EE">
        <w:trPr>
          <w:trHeight w:val="300"/>
        </w:trPr>
        <w:tc>
          <w:tcPr>
            <w:tcW w:w="3104" w:type="dxa"/>
            <w:shd w:val="clear" w:color="auto" w:fill="auto"/>
            <w:noWrap/>
            <w:hideMark/>
          </w:tcPr>
          <w:p w14:paraId="03E588DB" w14:textId="77777777" w:rsidR="008B4767" w:rsidRPr="007653CA" w:rsidRDefault="008B4767" w:rsidP="003100EE">
            <w:pPr>
              <w:spacing w:after="0" w:line="240" w:lineRule="auto"/>
              <w:rPr>
                <w:rFonts w:ascii="Calibri" w:eastAsia="Times New Roman" w:hAnsi="Calibri" w:cs="Calibri"/>
                <w:color w:val="000000"/>
                <w:lang w:eastAsia="en-NZ"/>
              </w:rPr>
            </w:pPr>
            <w:r w:rsidRPr="00C75420">
              <w:rPr>
                <w:rFonts w:ascii="Calibri" w:eastAsia="Times New Roman" w:hAnsi="Calibri" w:cs="Calibri"/>
                <w:color w:val="000000"/>
                <w:lang w:eastAsia="en-NZ"/>
              </w:rPr>
              <w:t>Engineering &amp; Applied Technology</w:t>
            </w:r>
          </w:p>
        </w:tc>
        <w:tc>
          <w:tcPr>
            <w:tcW w:w="1028" w:type="dxa"/>
            <w:shd w:val="clear" w:color="auto" w:fill="auto"/>
            <w:noWrap/>
            <w:hideMark/>
          </w:tcPr>
          <w:p w14:paraId="17BFF2F5"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73.2%</w:t>
            </w:r>
          </w:p>
        </w:tc>
        <w:tc>
          <w:tcPr>
            <w:tcW w:w="800" w:type="dxa"/>
            <w:shd w:val="clear" w:color="auto" w:fill="auto"/>
            <w:noWrap/>
            <w:hideMark/>
          </w:tcPr>
          <w:p w14:paraId="39D859BA"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71.4%</w:t>
            </w:r>
          </w:p>
        </w:tc>
        <w:tc>
          <w:tcPr>
            <w:tcW w:w="875" w:type="dxa"/>
            <w:shd w:val="clear" w:color="auto" w:fill="auto"/>
            <w:noWrap/>
            <w:hideMark/>
          </w:tcPr>
          <w:p w14:paraId="3BF6FB4E" w14:textId="77777777" w:rsidR="008B4767" w:rsidRPr="007653CA" w:rsidRDefault="008B4767" w:rsidP="00EB5842">
            <w:pPr>
              <w:spacing w:after="0" w:line="240" w:lineRule="auto"/>
              <w:jc w:val="right"/>
              <w:rPr>
                <w:rFonts w:ascii="Calibri" w:eastAsia="Times New Roman" w:hAnsi="Calibri" w:cs="Calibri"/>
                <w:color w:val="000000"/>
                <w:lang w:eastAsia="en-NZ"/>
              </w:rPr>
            </w:pPr>
            <w:r w:rsidRPr="0091752C">
              <w:t>64.6%</w:t>
            </w:r>
          </w:p>
        </w:tc>
        <w:tc>
          <w:tcPr>
            <w:tcW w:w="875" w:type="dxa"/>
            <w:shd w:val="clear" w:color="auto" w:fill="auto"/>
            <w:noWrap/>
            <w:hideMark/>
          </w:tcPr>
          <w:p w14:paraId="0D13A4CC"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73.2%</w:t>
            </w:r>
          </w:p>
        </w:tc>
        <w:tc>
          <w:tcPr>
            <w:tcW w:w="1248" w:type="dxa"/>
            <w:shd w:val="clear" w:color="auto" w:fill="auto"/>
            <w:noWrap/>
            <w:hideMark/>
          </w:tcPr>
          <w:p w14:paraId="45A5E832"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8.6%</w:t>
            </w:r>
          </w:p>
        </w:tc>
        <w:tc>
          <w:tcPr>
            <w:tcW w:w="1017" w:type="dxa"/>
            <w:shd w:val="clear" w:color="auto" w:fill="auto"/>
            <w:noWrap/>
            <w:hideMark/>
          </w:tcPr>
          <w:p w14:paraId="08C9A7F3"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0.0%</w:t>
            </w:r>
          </w:p>
        </w:tc>
        <w:tc>
          <w:tcPr>
            <w:tcW w:w="833" w:type="dxa"/>
            <w:vAlign w:val="bottom"/>
          </w:tcPr>
          <w:p w14:paraId="3B3CCA54"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718.9</w:t>
            </w:r>
          </w:p>
        </w:tc>
      </w:tr>
      <w:tr w:rsidR="008B4767" w:rsidRPr="007653CA" w14:paraId="3BEF2220" w14:textId="77777777" w:rsidTr="003100EE">
        <w:trPr>
          <w:trHeight w:val="300"/>
        </w:trPr>
        <w:tc>
          <w:tcPr>
            <w:tcW w:w="3104" w:type="dxa"/>
            <w:shd w:val="clear" w:color="DDEBF7" w:fill="DDEBF7"/>
            <w:noWrap/>
            <w:hideMark/>
          </w:tcPr>
          <w:p w14:paraId="518A591D" w14:textId="77777777" w:rsidR="008B4767" w:rsidRPr="007653CA" w:rsidRDefault="008B4767" w:rsidP="003100EE">
            <w:pPr>
              <w:spacing w:after="0" w:line="240" w:lineRule="auto"/>
              <w:rPr>
                <w:rFonts w:ascii="Calibri" w:eastAsia="Times New Roman" w:hAnsi="Calibri" w:cs="Calibri"/>
                <w:color w:val="000000"/>
                <w:lang w:eastAsia="en-NZ"/>
              </w:rPr>
            </w:pPr>
            <w:r w:rsidRPr="00C75420">
              <w:rPr>
                <w:rFonts w:ascii="Calibri" w:eastAsia="Times New Roman" w:hAnsi="Calibri" w:cs="Calibri"/>
                <w:color w:val="000000"/>
                <w:lang w:eastAsia="en-NZ"/>
              </w:rPr>
              <w:t>Environmental &amp; Animal Sciences</w:t>
            </w:r>
          </w:p>
        </w:tc>
        <w:tc>
          <w:tcPr>
            <w:tcW w:w="1028" w:type="dxa"/>
            <w:shd w:val="clear" w:color="DDEBF7" w:fill="DDEBF7"/>
            <w:noWrap/>
            <w:hideMark/>
          </w:tcPr>
          <w:p w14:paraId="438983A1"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79.5%</w:t>
            </w:r>
          </w:p>
        </w:tc>
        <w:tc>
          <w:tcPr>
            <w:tcW w:w="800" w:type="dxa"/>
            <w:shd w:val="clear" w:color="DDEBF7" w:fill="DDEBF7"/>
            <w:noWrap/>
            <w:hideMark/>
          </w:tcPr>
          <w:p w14:paraId="0D8B8604"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60.0%</w:t>
            </w:r>
          </w:p>
        </w:tc>
        <w:tc>
          <w:tcPr>
            <w:tcW w:w="875" w:type="dxa"/>
            <w:shd w:val="clear" w:color="DDEBF7" w:fill="DDEBF7"/>
            <w:noWrap/>
            <w:hideMark/>
          </w:tcPr>
          <w:p w14:paraId="3CA108B7" w14:textId="77777777" w:rsidR="008B4767" w:rsidRPr="007653CA" w:rsidRDefault="008B4767" w:rsidP="00EB5842">
            <w:pPr>
              <w:spacing w:after="0" w:line="240" w:lineRule="auto"/>
              <w:jc w:val="right"/>
              <w:rPr>
                <w:rFonts w:ascii="Calibri" w:eastAsia="Times New Roman" w:hAnsi="Calibri" w:cs="Calibri"/>
                <w:color w:val="000000"/>
                <w:lang w:eastAsia="en-NZ"/>
              </w:rPr>
            </w:pPr>
            <w:r w:rsidRPr="0091752C">
              <w:t>62.5%</w:t>
            </w:r>
          </w:p>
        </w:tc>
        <w:tc>
          <w:tcPr>
            <w:tcW w:w="875" w:type="dxa"/>
            <w:shd w:val="clear" w:color="auto" w:fill="D9E2F3" w:themeFill="accent5" w:themeFillTint="33"/>
            <w:noWrap/>
            <w:hideMark/>
          </w:tcPr>
          <w:p w14:paraId="08D83657" w14:textId="77777777" w:rsidR="008B4767" w:rsidRPr="007653CA" w:rsidRDefault="008B4767" w:rsidP="003100EE">
            <w:pPr>
              <w:spacing w:after="0" w:line="240" w:lineRule="auto"/>
              <w:jc w:val="right"/>
              <w:rPr>
                <w:rFonts w:ascii="Calibri" w:eastAsia="Times New Roman" w:hAnsi="Calibri" w:cs="Calibri"/>
                <w:color w:val="9C6500"/>
                <w:lang w:eastAsia="en-NZ"/>
              </w:rPr>
            </w:pPr>
            <w:r w:rsidRPr="0091752C">
              <w:t>75.0%</w:t>
            </w:r>
          </w:p>
        </w:tc>
        <w:tc>
          <w:tcPr>
            <w:tcW w:w="1248" w:type="dxa"/>
            <w:shd w:val="clear" w:color="DDEBF7" w:fill="DDEBF7"/>
            <w:noWrap/>
            <w:hideMark/>
          </w:tcPr>
          <w:p w14:paraId="69A9639F"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12.5%</w:t>
            </w:r>
          </w:p>
        </w:tc>
        <w:tc>
          <w:tcPr>
            <w:tcW w:w="1017" w:type="dxa"/>
            <w:shd w:val="clear" w:color="DDEBF7" w:fill="DDEBF7"/>
            <w:noWrap/>
            <w:hideMark/>
          </w:tcPr>
          <w:p w14:paraId="225FB78F"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-4.5%</w:t>
            </w:r>
          </w:p>
        </w:tc>
        <w:tc>
          <w:tcPr>
            <w:tcW w:w="833" w:type="dxa"/>
            <w:shd w:val="clear" w:color="DDEBF7" w:fill="DDEBF7"/>
            <w:vAlign w:val="bottom"/>
          </w:tcPr>
          <w:p w14:paraId="4D11B8E6"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374</w:t>
            </w:r>
          </w:p>
        </w:tc>
      </w:tr>
      <w:tr w:rsidR="008B4767" w:rsidRPr="007653CA" w14:paraId="3989B79E" w14:textId="77777777" w:rsidTr="003100EE">
        <w:trPr>
          <w:trHeight w:val="300"/>
        </w:trPr>
        <w:tc>
          <w:tcPr>
            <w:tcW w:w="3104" w:type="dxa"/>
            <w:shd w:val="clear" w:color="auto" w:fill="auto"/>
            <w:noWrap/>
            <w:hideMark/>
          </w:tcPr>
          <w:p w14:paraId="5FFD05E8" w14:textId="77777777" w:rsidR="008B4767" w:rsidRPr="007653CA" w:rsidRDefault="008B4767" w:rsidP="003100EE">
            <w:pPr>
              <w:spacing w:after="0" w:line="240" w:lineRule="auto"/>
              <w:rPr>
                <w:rFonts w:ascii="Calibri" w:eastAsia="Times New Roman" w:hAnsi="Calibri" w:cs="Calibri"/>
                <w:color w:val="000000"/>
                <w:lang w:eastAsia="en-NZ"/>
              </w:rPr>
            </w:pPr>
            <w:r w:rsidRPr="00C75420">
              <w:rPr>
                <w:rFonts w:ascii="Calibri" w:eastAsia="Times New Roman" w:hAnsi="Calibri" w:cs="Calibri"/>
                <w:color w:val="000000"/>
                <w:lang w:eastAsia="en-NZ"/>
              </w:rPr>
              <w:t>Healthcare &amp; Social Practice</w:t>
            </w:r>
          </w:p>
        </w:tc>
        <w:tc>
          <w:tcPr>
            <w:tcW w:w="1028" w:type="dxa"/>
            <w:shd w:val="clear" w:color="auto" w:fill="auto"/>
            <w:noWrap/>
            <w:hideMark/>
          </w:tcPr>
          <w:p w14:paraId="08D87EC9"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76.5%</w:t>
            </w:r>
          </w:p>
        </w:tc>
        <w:tc>
          <w:tcPr>
            <w:tcW w:w="800" w:type="dxa"/>
            <w:shd w:val="clear" w:color="auto" w:fill="auto"/>
            <w:noWrap/>
            <w:hideMark/>
          </w:tcPr>
          <w:p w14:paraId="74848EE7"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71.7%</w:t>
            </w:r>
          </w:p>
        </w:tc>
        <w:tc>
          <w:tcPr>
            <w:tcW w:w="875" w:type="dxa"/>
            <w:shd w:val="clear" w:color="auto" w:fill="auto"/>
            <w:noWrap/>
            <w:hideMark/>
          </w:tcPr>
          <w:p w14:paraId="1C6B225D" w14:textId="77777777" w:rsidR="008B4767" w:rsidRPr="007653CA" w:rsidRDefault="008B4767" w:rsidP="00EB5842">
            <w:pPr>
              <w:spacing w:after="0" w:line="240" w:lineRule="auto"/>
              <w:jc w:val="right"/>
              <w:rPr>
                <w:rFonts w:ascii="Calibri" w:eastAsia="Times New Roman" w:hAnsi="Calibri" w:cs="Calibri"/>
                <w:color w:val="000000"/>
                <w:lang w:eastAsia="en-NZ"/>
              </w:rPr>
            </w:pPr>
            <w:r w:rsidRPr="0091752C">
              <w:t>78.4%</w:t>
            </w:r>
          </w:p>
        </w:tc>
        <w:tc>
          <w:tcPr>
            <w:tcW w:w="875" w:type="dxa"/>
            <w:shd w:val="clear" w:color="auto" w:fill="auto"/>
            <w:noWrap/>
            <w:hideMark/>
          </w:tcPr>
          <w:p w14:paraId="551219BC" w14:textId="77777777" w:rsidR="008B4767" w:rsidRPr="007653CA" w:rsidRDefault="008B4767" w:rsidP="003100EE">
            <w:pPr>
              <w:spacing w:after="0" w:line="240" w:lineRule="auto"/>
              <w:jc w:val="right"/>
              <w:rPr>
                <w:rFonts w:ascii="Calibri" w:eastAsia="Times New Roman" w:hAnsi="Calibri" w:cs="Calibri"/>
                <w:color w:val="9C6500"/>
                <w:lang w:eastAsia="en-NZ"/>
              </w:rPr>
            </w:pPr>
            <w:r w:rsidRPr="0091752C">
              <w:t>68.9%</w:t>
            </w:r>
          </w:p>
        </w:tc>
        <w:tc>
          <w:tcPr>
            <w:tcW w:w="1248" w:type="dxa"/>
            <w:shd w:val="clear" w:color="auto" w:fill="auto"/>
            <w:noWrap/>
            <w:hideMark/>
          </w:tcPr>
          <w:p w14:paraId="327213DE"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-9.5%</w:t>
            </w:r>
          </w:p>
        </w:tc>
        <w:tc>
          <w:tcPr>
            <w:tcW w:w="1017" w:type="dxa"/>
            <w:shd w:val="clear" w:color="auto" w:fill="auto"/>
            <w:noWrap/>
            <w:hideMark/>
          </w:tcPr>
          <w:p w14:paraId="5D710BEE"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-7.6%</w:t>
            </w:r>
          </w:p>
        </w:tc>
        <w:tc>
          <w:tcPr>
            <w:tcW w:w="833" w:type="dxa"/>
            <w:vAlign w:val="bottom"/>
          </w:tcPr>
          <w:p w14:paraId="54E392F6"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590</w:t>
            </w:r>
          </w:p>
        </w:tc>
      </w:tr>
      <w:tr w:rsidR="008B4767" w:rsidRPr="007653CA" w14:paraId="239AF710" w14:textId="77777777" w:rsidTr="003100EE">
        <w:trPr>
          <w:trHeight w:val="300"/>
        </w:trPr>
        <w:tc>
          <w:tcPr>
            <w:tcW w:w="3104" w:type="dxa"/>
            <w:shd w:val="clear" w:color="DDEBF7" w:fill="DDEBF7"/>
            <w:noWrap/>
            <w:hideMark/>
          </w:tcPr>
          <w:p w14:paraId="7355F07A" w14:textId="77777777" w:rsidR="008B4767" w:rsidRPr="007653CA" w:rsidRDefault="008B4767" w:rsidP="003100EE">
            <w:pPr>
              <w:spacing w:after="0" w:line="240" w:lineRule="auto"/>
              <w:rPr>
                <w:rFonts w:ascii="Calibri" w:eastAsia="Times New Roman" w:hAnsi="Calibri" w:cs="Calibri"/>
                <w:color w:val="000000"/>
                <w:lang w:eastAsia="en-NZ"/>
              </w:rPr>
            </w:pPr>
            <w:r w:rsidRPr="00C75420">
              <w:rPr>
                <w:rFonts w:ascii="Calibri" w:eastAsia="Times New Roman" w:hAnsi="Calibri" w:cs="Calibri"/>
                <w:color w:val="000000"/>
                <w:lang w:eastAsia="en-NZ"/>
              </w:rPr>
              <w:t>Trades &amp; Services</w:t>
            </w:r>
          </w:p>
        </w:tc>
        <w:tc>
          <w:tcPr>
            <w:tcW w:w="1028" w:type="dxa"/>
            <w:shd w:val="clear" w:color="DDEBF7" w:fill="DDEBF7"/>
            <w:noWrap/>
            <w:hideMark/>
          </w:tcPr>
          <w:p w14:paraId="42F76E7B"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74.6%</w:t>
            </w:r>
          </w:p>
        </w:tc>
        <w:tc>
          <w:tcPr>
            <w:tcW w:w="800" w:type="dxa"/>
            <w:shd w:val="clear" w:color="DDEBF7" w:fill="DDEBF7"/>
            <w:noWrap/>
            <w:hideMark/>
          </w:tcPr>
          <w:p w14:paraId="29564FC2"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44.1%</w:t>
            </w:r>
          </w:p>
        </w:tc>
        <w:tc>
          <w:tcPr>
            <w:tcW w:w="875" w:type="dxa"/>
            <w:shd w:val="clear" w:color="DDEBF7" w:fill="DDEBF7"/>
            <w:noWrap/>
            <w:hideMark/>
          </w:tcPr>
          <w:p w14:paraId="6F3E8E9B" w14:textId="77777777" w:rsidR="008B4767" w:rsidRPr="007653CA" w:rsidRDefault="008B4767" w:rsidP="00EB5842">
            <w:pPr>
              <w:spacing w:after="0" w:line="240" w:lineRule="auto"/>
              <w:jc w:val="right"/>
              <w:rPr>
                <w:rFonts w:ascii="Calibri" w:eastAsia="Times New Roman" w:hAnsi="Calibri" w:cs="Calibri"/>
                <w:color w:val="000000"/>
                <w:lang w:eastAsia="en-NZ"/>
              </w:rPr>
            </w:pPr>
            <w:r w:rsidRPr="0091752C">
              <w:t>63.4%</w:t>
            </w:r>
          </w:p>
        </w:tc>
        <w:tc>
          <w:tcPr>
            <w:tcW w:w="875" w:type="dxa"/>
            <w:shd w:val="clear" w:color="auto" w:fill="FBE4D5" w:themeFill="accent2" w:themeFillTint="33"/>
            <w:noWrap/>
            <w:hideMark/>
          </w:tcPr>
          <w:p w14:paraId="4DF1B4F0" w14:textId="77777777" w:rsidR="008B4767" w:rsidRPr="007653CA" w:rsidRDefault="008B4767" w:rsidP="003100EE">
            <w:pPr>
              <w:spacing w:after="0" w:line="240" w:lineRule="auto"/>
              <w:jc w:val="right"/>
              <w:rPr>
                <w:rFonts w:ascii="Calibri" w:eastAsia="Times New Roman" w:hAnsi="Calibri" w:cs="Calibri"/>
                <w:color w:val="9C0006"/>
                <w:lang w:eastAsia="en-NZ"/>
              </w:rPr>
            </w:pPr>
            <w:r w:rsidRPr="0091752C">
              <w:t>57.3%</w:t>
            </w:r>
          </w:p>
        </w:tc>
        <w:tc>
          <w:tcPr>
            <w:tcW w:w="1248" w:type="dxa"/>
            <w:shd w:val="clear" w:color="DDEBF7" w:fill="DDEBF7"/>
            <w:noWrap/>
            <w:hideMark/>
          </w:tcPr>
          <w:p w14:paraId="4CB732EE"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-6.1%</w:t>
            </w:r>
          </w:p>
        </w:tc>
        <w:tc>
          <w:tcPr>
            <w:tcW w:w="1017" w:type="dxa"/>
            <w:shd w:val="clear" w:color="DDEBF7" w:fill="DDEBF7"/>
            <w:noWrap/>
            <w:hideMark/>
          </w:tcPr>
          <w:p w14:paraId="2B29A2D6"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91752C">
              <w:t>-17.3%</w:t>
            </w:r>
          </w:p>
        </w:tc>
        <w:tc>
          <w:tcPr>
            <w:tcW w:w="833" w:type="dxa"/>
            <w:shd w:val="clear" w:color="DDEBF7" w:fill="DDEBF7"/>
            <w:vAlign w:val="bottom"/>
          </w:tcPr>
          <w:p w14:paraId="7758C56E"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color w:val="000000"/>
                <w:lang w:eastAsia="en-NZ"/>
              </w:rPr>
              <w:t>784</w:t>
            </w:r>
          </w:p>
        </w:tc>
      </w:tr>
      <w:tr w:rsidR="008B4767" w:rsidRPr="007653CA" w14:paraId="18AA11F1" w14:textId="77777777" w:rsidTr="003100EE">
        <w:trPr>
          <w:trHeight w:val="300"/>
        </w:trPr>
        <w:tc>
          <w:tcPr>
            <w:tcW w:w="3104" w:type="dxa"/>
            <w:shd w:val="clear" w:color="auto" w:fill="auto"/>
            <w:noWrap/>
            <w:hideMark/>
          </w:tcPr>
          <w:p w14:paraId="0B04DC16" w14:textId="77777777" w:rsidR="008B4767" w:rsidRPr="007653CA" w:rsidRDefault="00F83426" w:rsidP="003100EE">
            <w:pPr>
              <w:spacing w:after="0" w:line="240" w:lineRule="auto"/>
              <w:rPr>
                <w:rFonts w:ascii="Calibri" w:eastAsia="Times New Roman" w:hAnsi="Calibri" w:cs="Calibri"/>
                <w:b/>
                <w:bCs/>
                <w:color w:val="000000"/>
                <w:lang w:eastAsia="en-NZ"/>
              </w:rPr>
            </w:pPr>
            <w:r>
              <w:rPr>
                <w:rFonts w:ascii="Calibri" w:eastAsia="Times New Roman" w:hAnsi="Calibri" w:cs="Calibri"/>
                <w:b/>
                <w:bCs/>
                <w:color w:val="000000"/>
                <w:lang w:eastAsia="en-NZ"/>
              </w:rPr>
              <w:t xml:space="preserve">Grand </w:t>
            </w:r>
            <w:r w:rsidR="008B4767" w:rsidRPr="00C75420">
              <w:rPr>
                <w:rFonts w:ascii="Calibri" w:eastAsia="Times New Roman" w:hAnsi="Calibri" w:cs="Calibri"/>
                <w:b/>
                <w:bCs/>
                <w:color w:val="000000"/>
                <w:lang w:eastAsia="en-NZ"/>
              </w:rPr>
              <w:t>Total</w:t>
            </w:r>
            <w:r>
              <w:rPr>
                <w:rFonts w:ascii="Calibri" w:eastAsia="Times New Roman" w:hAnsi="Calibri" w:cs="Calibri"/>
                <w:b/>
                <w:bCs/>
                <w:color w:val="000000"/>
                <w:lang w:eastAsia="en-NZ"/>
              </w:rPr>
              <w:t>*</w:t>
            </w:r>
          </w:p>
        </w:tc>
        <w:tc>
          <w:tcPr>
            <w:tcW w:w="1028" w:type="dxa"/>
            <w:shd w:val="clear" w:color="auto" w:fill="auto"/>
            <w:noWrap/>
            <w:vAlign w:val="bottom"/>
          </w:tcPr>
          <w:p w14:paraId="547BDF1B" w14:textId="77777777" w:rsidR="008B4767" w:rsidRPr="007653CA" w:rsidRDefault="00F96229" w:rsidP="003100EE">
            <w:pPr>
              <w:spacing w:after="0" w:line="240" w:lineRule="auto"/>
              <w:jc w:val="right"/>
              <w:rPr>
                <w:rFonts w:ascii="Calibri" w:eastAsia="Times New Roman" w:hAnsi="Calibri" w:cs="Calibri"/>
                <w:b/>
                <w:bCs/>
                <w:color w:val="000000"/>
                <w:lang w:eastAsia="en-NZ"/>
              </w:rPr>
            </w:pPr>
            <w:r>
              <w:rPr>
                <w:rFonts w:ascii="Calibri" w:eastAsia="Times New Roman" w:hAnsi="Calibri" w:cs="Calibri"/>
                <w:b/>
                <w:bCs/>
                <w:color w:val="000000"/>
                <w:lang w:eastAsia="en-NZ"/>
              </w:rPr>
              <w:t>72.3</w:t>
            </w:r>
            <w:r w:rsidR="008B4767">
              <w:rPr>
                <w:rFonts w:ascii="Calibri" w:eastAsia="Times New Roman" w:hAnsi="Calibri" w:cs="Calibri"/>
                <w:b/>
                <w:bCs/>
                <w:color w:val="000000"/>
                <w:lang w:eastAsia="en-NZ"/>
              </w:rPr>
              <w:t>%</w:t>
            </w:r>
          </w:p>
        </w:tc>
        <w:tc>
          <w:tcPr>
            <w:tcW w:w="800" w:type="dxa"/>
            <w:shd w:val="clear" w:color="auto" w:fill="auto"/>
            <w:noWrap/>
            <w:vAlign w:val="bottom"/>
          </w:tcPr>
          <w:p w14:paraId="2F2AE19B" w14:textId="77777777" w:rsidR="008B4767" w:rsidRPr="007653CA" w:rsidRDefault="008B4767" w:rsidP="003100EE">
            <w:pPr>
              <w:spacing w:after="0" w:line="240" w:lineRule="auto"/>
              <w:jc w:val="right"/>
              <w:rPr>
                <w:rFonts w:ascii="Calibri" w:eastAsia="Times New Roman" w:hAnsi="Calibri" w:cs="Calibri"/>
                <w:b/>
                <w:bCs/>
                <w:color w:val="000000"/>
                <w:lang w:eastAsia="en-NZ"/>
              </w:rPr>
            </w:pPr>
            <w:r>
              <w:rPr>
                <w:rFonts w:ascii="Calibri" w:eastAsia="Times New Roman" w:hAnsi="Calibri" w:cs="Calibri"/>
                <w:b/>
                <w:bCs/>
                <w:color w:val="000000"/>
                <w:lang w:eastAsia="en-NZ"/>
              </w:rPr>
              <w:t>67.1%</w:t>
            </w:r>
          </w:p>
        </w:tc>
        <w:tc>
          <w:tcPr>
            <w:tcW w:w="875" w:type="dxa"/>
            <w:shd w:val="clear" w:color="auto" w:fill="auto"/>
            <w:noWrap/>
            <w:vAlign w:val="bottom"/>
          </w:tcPr>
          <w:p w14:paraId="1B1DC623" w14:textId="77777777" w:rsidR="008B4767" w:rsidRPr="007653CA" w:rsidRDefault="00F96229" w:rsidP="003100EE">
            <w:pPr>
              <w:spacing w:after="0" w:line="240" w:lineRule="auto"/>
              <w:jc w:val="right"/>
              <w:rPr>
                <w:rFonts w:ascii="Calibri" w:eastAsia="Times New Roman" w:hAnsi="Calibri" w:cs="Calibri"/>
                <w:b/>
                <w:bCs/>
                <w:color w:val="000000"/>
                <w:lang w:eastAsia="en-NZ"/>
              </w:rPr>
            </w:pPr>
            <w:r>
              <w:rPr>
                <w:rFonts w:ascii="Calibri" w:eastAsia="Times New Roman" w:hAnsi="Calibri" w:cs="Calibri"/>
                <w:b/>
                <w:bCs/>
                <w:color w:val="000000"/>
                <w:lang w:eastAsia="en-NZ"/>
              </w:rPr>
              <w:t>71.5</w:t>
            </w:r>
            <w:r w:rsidR="008B4767">
              <w:rPr>
                <w:rFonts w:ascii="Calibri" w:eastAsia="Times New Roman" w:hAnsi="Calibri" w:cs="Calibri"/>
                <w:b/>
                <w:bCs/>
                <w:color w:val="000000"/>
                <w:lang w:eastAsia="en-NZ"/>
              </w:rPr>
              <w:t>%</w:t>
            </w:r>
          </w:p>
        </w:tc>
        <w:tc>
          <w:tcPr>
            <w:tcW w:w="875" w:type="dxa"/>
            <w:shd w:val="clear" w:color="auto" w:fill="auto"/>
            <w:noWrap/>
            <w:vAlign w:val="bottom"/>
          </w:tcPr>
          <w:p w14:paraId="6046E37C" w14:textId="77777777" w:rsidR="008B4767" w:rsidRPr="007653CA" w:rsidRDefault="00F96229" w:rsidP="003100EE">
            <w:pPr>
              <w:spacing w:after="0" w:line="240" w:lineRule="auto"/>
              <w:jc w:val="right"/>
              <w:rPr>
                <w:rFonts w:ascii="Calibri" w:eastAsia="Times New Roman" w:hAnsi="Calibri" w:cs="Calibri"/>
                <w:b/>
                <w:bCs/>
                <w:color w:val="000000"/>
                <w:lang w:eastAsia="en-NZ"/>
              </w:rPr>
            </w:pPr>
            <w:r>
              <w:rPr>
                <w:rFonts w:ascii="Calibri" w:eastAsia="Times New Roman" w:hAnsi="Calibri" w:cs="Calibri"/>
                <w:b/>
                <w:bCs/>
                <w:color w:val="000000"/>
                <w:lang w:eastAsia="en-NZ"/>
              </w:rPr>
              <w:t>71.7</w:t>
            </w:r>
            <w:r w:rsidR="008B4767">
              <w:rPr>
                <w:rFonts w:ascii="Calibri" w:eastAsia="Times New Roman" w:hAnsi="Calibri" w:cs="Calibri"/>
                <w:b/>
                <w:bCs/>
                <w:color w:val="000000"/>
                <w:lang w:eastAsia="en-NZ"/>
              </w:rPr>
              <w:t>%</w:t>
            </w:r>
          </w:p>
        </w:tc>
        <w:tc>
          <w:tcPr>
            <w:tcW w:w="1248" w:type="dxa"/>
            <w:shd w:val="clear" w:color="auto" w:fill="auto"/>
            <w:noWrap/>
            <w:vAlign w:val="bottom"/>
          </w:tcPr>
          <w:p w14:paraId="1A9203C9" w14:textId="77777777" w:rsidR="008B4767" w:rsidRPr="007653CA" w:rsidRDefault="008B4767" w:rsidP="003100EE">
            <w:pPr>
              <w:spacing w:after="0" w:line="240" w:lineRule="auto"/>
              <w:jc w:val="right"/>
              <w:rPr>
                <w:rFonts w:ascii="Calibri" w:eastAsia="Times New Roman" w:hAnsi="Calibri" w:cs="Calibri"/>
                <w:b/>
                <w:bCs/>
                <w:color w:val="000000"/>
                <w:lang w:eastAsia="en-NZ"/>
              </w:rPr>
            </w:pPr>
            <w:r>
              <w:rPr>
                <w:rFonts w:ascii="Calibri" w:eastAsia="Times New Roman" w:hAnsi="Calibri" w:cs="Calibri"/>
                <w:b/>
                <w:bCs/>
                <w:color w:val="000000"/>
                <w:lang w:eastAsia="en-NZ"/>
              </w:rPr>
              <w:t>0.2%</w:t>
            </w:r>
          </w:p>
        </w:tc>
        <w:tc>
          <w:tcPr>
            <w:tcW w:w="1017" w:type="dxa"/>
            <w:shd w:val="clear" w:color="auto" w:fill="auto"/>
            <w:noWrap/>
            <w:vAlign w:val="bottom"/>
          </w:tcPr>
          <w:p w14:paraId="6EA7F388" w14:textId="77777777" w:rsidR="008B4767" w:rsidRPr="00D630B9" w:rsidRDefault="008B4767" w:rsidP="003100EE">
            <w:pPr>
              <w:spacing w:after="0" w:line="240" w:lineRule="auto"/>
              <w:jc w:val="right"/>
              <w:rPr>
                <w:rFonts w:ascii="Calibri" w:eastAsia="Times New Roman" w:hAnsi="Calibri" w:cs="Calibri"/>
                <w:b/>
                <w:bCs/>
                <w:color w:val="000000"/>
                <w:lang w:eastAsia="en-NZ"/>
              </w:rPr>
            </w:pPr>
            <w:r w:rsidRPr="00D630B9">
              <w:rPr>
                <w:rFonts w:ascii="Calibri" w:eastAsia="Times New Roman" w:hAnsi="Calibri" w:cs="Calibri"/>
                <w:b/>
                <w:bCs/>
                <w:color w:val="000000"/>
                <w:lang w:eastAsia="en-NZ"/>
              </w:rPr>
              <w:t>-0.6%</w:t>
            </w:r>
          </w:p>
        </w:tc>
        <w:tc>
          <w:tcPr>
            <w:tcW w:w="833" w:type="dxa"/>
            <w:vAlign w:val="bottom"/>
          </w:tcPr>
          <w:p w14:paraId="3C36AD7B" w14:textId="77777777" w:rsidR="008B4767" w:rsidRPr="007653CA" w:rsidRDefault="008B4767" w:rsidP="003100EE">
            <w:pPr>
              <w:spacing w:after="0" w:line="240" w:lineRule="auto"/>
              <w:jc w:val="right"/>
              <w:rPr>
                <w:rFonts w:ascii="Calibri" w:eastAsia="Times New Roman" w:hAnsi="Calibri" w:cs="Calibri"/>
                <w:color w:val="000000"/>
                <w:lang w:eastAsia="en-NZ"/>
              </w:rPr>
            </w:pPr>
            <w:r w:rsidRPr="00CD4B9B">
              <w:rPr>
                <w:rFonts w:ascii="Calibri" w:eastAsia="Times New Roman" w:hAnsi="Calibri" w:cs="Calibri"/>
                <w:b/>
                <w:bCs/>
                <w:color w:val="000000"/>
                <w:lang w:eastAsia="en-NZ"/>
              </w:rPr>
              <w:t>6767.6</w:t>
            </w:r>
          </w:p>
        </w:tc>
      </w:tr>
    </w:tbl>
    <w:p w14:paraId="4F7EFE40" w14:textId="77777777" w:rsidR="00F83426" w:rsidRPr="00BD0BC2" w:rsidRDefault="00F83426" w:rsidP="00F83426">
      <w:pPr>
        <w:rPr>
          <w:i/>
          <w:sz w:val="20"/>
          <w:szCs w:val="20"/>
        </w:rPr>
      </w:pPr>
      <w:r w:rsidRPr="00BD0BC2">
        <w:rPr>
          <w:i/>
          <w:sz w:val="20"/>
          <w:szCs w:val="20"/>
        </w:rPr>
        <w:t>*Grand Total excludes data associated with Mindlab, Administrative, Maia and Te Puna Ako as well as data not associated with any school</w:t>
      </w:r>
    </w:p>
    <w:p w14:paraId="55ECC3D3" w14:textId="56DC06EE" w:rsidR="00314644" w:rsidRDefault="00A3557D" w:rsidP="00A3557D">
      <w:r w:rsidRPr="00220F8A">
        <w:t>Key contributors to the ov</w:t>
      </w:r>
      <w:r>
        <w:t>erarching decline over the 4-year period in Fi</w:t>
      </w:r>
      <w:r w:rsidR="00ED7E11">
        <w:t>r</w:t>
      </w:r>
      <w:r>
        <w:t>st Year Retention rate</w:t>
      </w:r>
      <w:r w:rsidRPr="00220F8A">
        <w:t xml:space="preserve"> </w:t>
      </w:r>
      <w:r w:rsidR="00314644">
        <w:t>were</w:t>
      </w:r>
      <w:r w:rsidRPr="00220F8A">
        <w:t xml:space="preserve"> </w:t>
      </w:r>
      <w:r>
        <w:t xml:space="preserve">Applied Business and Trades &amp; Services, </w:t>
      </w:r>
      <w:r w:rsidRPr="00220F8A">
        <w:t xml:space="preserve">which </w:t>
      </w:r>
      <w:r w:rsidR="00314644">
        <w:t>had</w:t>
      </w:r>
      <w:r>
        <w:t xml:space="preserve"> high EFTS of 740.3 and 784 but dropped by</w:t>
      </w:r>
      <w:r w:rsidRPr="00220F8A">
        <w:t xml:space="preserve"> </w:t>
      </w:r>
      <w:r>
        <w:t xml:space="preserve">11.8% </w:t>
      </w:r>
      <w:r>
        <w:lastRenderedPageBreak/>
        <w:t>and 17.3%</w:t>
      </w:r>
      <w:r w:rsidRPr="00220F8A">
        <w:t xml:space="preserve"> respectively from 201</w:t>
      </w:r>
      <w:r>
        <w:t>5</w:t>
      </w:r>
      <w:r w:rsidRPr="00220F8A">
        <w:t xml:space="preserve"> to 2018</w:t>
      </w:r>
      <w:r w:rsidR="00314644">
        <w:t xml:space="preserve">. These 2 schools are the only ones which did not meet the Investment Plan Target in 2018. </w:t>
      </w:r>
    </w:p>
    <w:p w14:paraId="7721690A" w14:textId="0E2C38F2" w:rsidR="00A3557D" w:rsidRDefault="00A3557D" w:rsidP="00314644">
      <w:r>
        <w:t xml:space="preserve">However, the First Year Retention rate for most programmes in Trades and Services and Applied Business are not available because like Bridgepoint, a number of programmes are shorter than a year in length, or have enrolment times </w:t>
      </w:r>
      <w:r w:rsidR="00082BE3">
        <w:t>which</w:t>
      </w:r>
      <w:r>
        <w:t xml:space="preserve"> do not enable a semesteri</w:t>
      </w:r>
      <w:r w:rsidR="00082BE3">
        <w:t>s</w:t>
      </w:r>
      <w:r>
        <w:t>ed collation of data.</w:t>
      </w:r>
      <w:r w:rsidR="00314644">
        <w:t xml:space="preserve"> For those that are available, those with particularly low First Year Retention rates also have very low EFTS in 2018, hence their negative impact is very limited.</w:t>
      </w:r>
    </w:p>
    <w:p w14:paraId="57C79A58" w14:textId="77777777" w:rsidR="008B4767" w:rsidRDefault="00A3557D" w:rsidP="00A3557D">
      <w:r>
        <w:t>During</w:t>
      </w:r>
      <w:r w:rsidRPr="00220F8A">
        <w:t xml:space="preserve"> 2015-2018, </w:t>
      </w:r>
      <w:r>
        <w:t xml:space="preserve">Bridgepoint had </w:t>
      </w:r>
      <w:r w:rsidRPr="00220F8A">
        <w:t xml:space="preserve">the highest </w:t>
      </w:r>
      <w:r>
        <w:t>increase of 35.7% but some data for Bridgepoint are not available, mainly because their programmes occur within the span of a semester or a year, hence caution must be taken when interpreting Bridgepoint performance.</w:t>
      </w:r>
    </w:p>
    <w:p w14:paraId="1F790999" w14:textId="77777777" w:rsidR="00A3557D" w:rsidRDefault="00A3557D" w:rsidP="008B4767">
      <w:pPr>
        <w:pStyle w:val="Heading2"/>
      </w:pPr>
    </w:p>
    <w:p w14:paraId="0171EE14" w14:textId="77777777" w:rsidR="008B4767" w:rsidRPr="00B93457" w:rsidRDefault="00C91DAD" w:rsidP="008B4767">
      <w:pPr>
        <w:pStyle w:val="Heading2"/>
        <w:rPr>
          <w:lang w:val="mi-NZ"/>
        </w:rPr>
      </w:pPr>
      <w:r>
        <w:t>3</w:t>
      </w:r>
      <w:r w:rsidR="008B4767">
        <w:t>.3 Priority</w:t>
      </w:r>
    </w:p>
    <w:p w14:paraId="0AC73149" w14:textId="77777777" w:rsidR="008B4767" w:rsidRDefault="00E4464E" w:rsidP="008B4767">
      <w:pPr>
        <w:pStyle w:val="Heading2"/>
        <w:rPr>
          <w:lang w:val="mi-NZ"/>
        </w:rPr>
      </w:pPr>
      <w:r>
        <w:t>3</w:t>
      </w:r>
      <w:r w:rsidR="008B4767">
        <w:t>.3.1 M</w:t>
      </w:r>
      <w:r w:rsidR="008B4767">
        <w:rPr>
          <w:lang w:val="mi-NZ"/>
        </w:rPr>
        <w:t>āori</w:t>
      </w:r>
    </w:p>
    <w:p w14:paraId="16BA83F5" w14:textId="27109290" w:rsidR="008B4767" w:rsidRDefault="008B4767" w:rsidP="008B4767">
      <w:r>
        <w:t xml:space="preserve">The variance between Māori and non-Māori students has been widening since 2014, reaching             -12.7% in 2017. This was higher than the ITP Sector average of </w:t>
      </w:r>
      <w:r w:rsidR="00E4464E">
        <w:t>-</w:t>
      </w:r>
      <w:r>
        <w:t xml:space="preserve">8.7%, and much higher than the </w:t>
      </w:r>
      <w:r w:rsidR="00E4464E">
        <w:t xml:space="preserve">        -</w:t>
      </w:r>
      <w:r>
        <w:t xml:space="preserve">2.6% achieved by MIT, </w:t>
      </w:r>
      <w:r w:rsidR="00E4464E">
        <w:t>-</w:t>
      </w:r>
      <w:r>
        <w:t xml:space="preserve">7% by AUT and </w:t>
      </w:r>
      <w:r w:rsidR="00E4464E">
        <w:t>-</w:t>
      </w:r>
      <w:r>
        <w:t xml:space="preserve">5.1% at the University of Auckland.  </w:t>
      </w:r>
      <w:r w:rsidR="007864C7">
        <w:t xml:space="preserve">In 2018, the variance </w:t>
      </w:r>
      <w:r w:rsidR="00164808">
        <w:t>decreased</w:t>
      </w:r>
      <w:r w:rsidR="007864C7">
        <w:t xml:space="preserve"> slightly to 10.2%, but the gaps with their tertiary counterparts were still significant.</w:t>
      </w:r>
    </w:p>
    <w:tbl>
      <w:tblPr>
        <w:tblpPr w:leftFromText="180" w:rightFromText="180" w:vertAnchor="text" w:horzAnchor="page" w:tblpX="5836" w:tblpY="114"/>
        <w:tblW w:w="4519" w:type="dxa"/>
        <w:tblCellMar>
          <w:left w:w="0" w:type="dxa"/>
          <w:right w:w="0" w:type="dxa"/>
        </w:tblCellMar>
        <w:tblLook w:val="0420" w:firstRow="1" w:lastRow="0" w:firstColumn="0" w:lastColumn="0" w:noHBand="0" w:noVBand="1"/>
      </w:tblPr>
      <w:tblGrid>
        <w:gridCol w:w="1348"/>
        <w:gridCol w:w="814"/>
        <w:gridCol w:w="814"/>
        <w:gridCol w:w="1543"/>
      </w:tblGrid>
      <w:tr w:rsidR="00844097" w:rsidRPr="00844097" w14:paraId="65C51782" w14:textId="77777777" w:rsidTr="000C61EC">
        <w:trPr>
          <w:trHeight w:val="51"/>
        </w:trPr>
        <w:tc>
          <w:tcPr>
            <w:tcW w:w="134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C650318" w14:textId="77777777" w:rsidR="008B4767" w:rsidRPr="00844097" w:rsidRDefault="008B4767" w:rsidP="00A3557D">
            <w:pPr>
              <w:spacing w:after="0" w:line="240" w:lineRule="auto"/>
              <w:rPr>
                <w:sz w:val="20"/>
                <w:szCs w:val="20"/>
              </w:rPr>
            </w:pPr>
            <w:r w:rsidRPr="00844097">
              <w:rPr>
                <w:b/>
                <w:bCs/>
                <w:sz w:val="20"/>
                <w:szCs w:val="20"/>
              </w:rPr>
              <w:t>2017 Benchmarks</w:t>
            </w:r>
          </w:p>
        </w:tc>
        <w:tc>
          <w:tcPr>
            <w:tcW w:w="8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A346A94" w14:textId="77777777" w:rsidR="008B4767" w:rsidRPr="00844097" w:rsidRDefault="008B4767" w:rsidP="00A3557D">
            <w:pPr>
              <w:spacing w:after="0" w:line="240" w:lineRule="auto"/>
              <w:rPr>
                <w:sz w:val="20"/>
                <w:szCs w:val="20"/>
              </w:rPr>
            </w:pPr>
            <w:r w:rsidRPr="00844097">
              <w:rPr>
                <w:b/>
                <w:bCs/>
                <w:sz w:val="20"/>
                <w:szCs w:val="20"/>
              </w:rPr>
              <w:t>Māori</w:t>
            </w:r>
          </w:p>
        </w:tc>
        <w:tc>
          <w:tcPr>
            <w:tcW w:w="8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7E96A18" w14:textId="77777777" w:rsidR="008B4767" w:rsidRPr="00844097" w:rsidRDefault="008B4767" w:rsidP="00A3557D">
            <w:pPr>
              <w:spacing w:after="0" w:line="240" w:lineRule="auto"/>
              <w:rPr>
                <w:sz w:val="20"/>
                <w:szCs w:val="20"/>
              </w:rPr>
            </w:pPr>
            <w:r w:rsidRPr="00844097">
              <w:rPr>
                <w:b/>
                <w:bCs/>
                <w:sz w:val="20"/>
                <w:szCs w:val="20"/>
              </w:rPr>
              <w:t>Non-Māori</w:t>
            </w:r>
          </w:p>
        </w:tc>
        <w:tc>
          <w:tcPr>
            <w:tcW w:w="154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098175E" w14:textId="77777777" w:rsidR="008B4767" w:rsidRPr="00844097" w:rsidRDefault="008B4767" w:rsidP="00A3557D">
            <w:pPr>
              <w:spacing w:after="0" w:line="240" w:lineRule="auto"/>
              <w:rPr>
                <w:sz w:val="20"/>
                <w:szCs w:val="20"/>
              </w:rPr>
            </w:pPr>
            <w:r w:rsidRPr="00844097">
              <w:rPr>
                <w:b/>
                <w:bCs/>
                <w:sz w:val="20"/>
                <w:szCs w:val="20"/>
              </w:rPr>
              <w:t>Variance</w:t>
            </w:r>
          </w:p>
        </w:tc>
      </w:tr>
      <w:tr w:rsidR="00844097" w:rsidRPr="00844097" w14:paraId="5B388F86" w14:textId="77777777" w:rsidTr="000C61EC">
        <w:trPr>
          <w:trHeight w:val="41"/>
        </w:trPr>
        <w:tc>
          <w:tcPr>
            <w:tcW w:w="134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523D66E" w14:textId="77777777" w:rsidR="008B4767" w:rsidRPr="00A3557D" w:rsidRDefault="008B4767" w:rsidP="00A3557D">
            <w:pPr>
              <w:spacing w:after="0" w:line="240" w:lineRule="auto"/>
              <w:rPr>
                <w:sz w:val="20"/>
                <w:szCs w:val="20"/>
              </w:rPr>
            </w:pPr>
            <w:r w:rsidRPr="00A3557D">
              <w:rPr>
                <w:sz w:val="20"/>
                <w:szCs w:val="20"/>
              </w:rPr>
              <w:t>Unitec</w:t>
            </w:r>
          </w:p>
        </w:tc>
        <w:tc>
          <w:tcPr>
            <w:tcW w:w="81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AE61718" w14:textId="77777777" w:rsidR="008B4767" w:rsidRPr="00A3557D" w:rsidRDefault="008B4767" w:rsidP="004A5B1F">
            <w:pPr>
              <w:spacing w:after="0" w:line="240" w:lineRule="auto"/>
              <w:jc w:val="center"/>
              <w:rPr>
                <w:sz w:val="20"/>
                <w:szCs w:val="20"/>
              </w:rPr>
            </w:pPr>
            <w:r w:rsidRPr="00A3557D">
              <w:rPr>
                <w:sz w:val="20"/>
                <w:szCs w:val="20"/>
              </w:rPr>
              <w:t>58.9%</w:t>
            </w:r>
          </w:p>
        </w:tc>
        <w:tc>
          <w:tcPr>
            <w:tcW w:w="81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810EB74" w14:textId="77777777" w:rsidR="008B4767" w:rsidRPr="00A3557D" w:rsidRDefault="008B4767" w:rsidP="004A5B1F">
            <w:pPr>
              <w:spacing w:after="0" w:line="240" w:lineRule="auto"/>
              <w:jc w:val="center"/>
              <w:rPr>
                <w:sz w:val="20"/>
                <w:szCs w:val="20"/>
              </w:rPr>
            </w:pPr>
            <w:r w:rsidRPr="00A3557D">
              <w:rPr>
                <w:sz w:val="20"/>
                <w:szCs w:val="20"/>
              </w:rPr>
              <w:t>71.6%</w:t>
            </w:r>
          </w:p>
        </w:tc>
        <w:tc>
          <w:tcPr>
            <w:tcW w:w="15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C25A505" w14:textId="77777777" w:rsidR="008B4767" w:rsidRPr="00A3557D" w:rsidRDefault="008B4767" w:rsidP="004A5B1F">
            <w:pPr>
              <w:spacing w:after="0" w:line="240" w:lineRule="auto"/>
              <w:jc w:val="center"/>
              <w:rPr>
                <w:sz w:val="20"/>
                <w:szCs w:val="20"/>
              </w:rPr>
            </w:pPr>
            <w:r w:rsidRPr="00A3557D">
              <w:rPr>
                <w:sz w:val="20"/>
                <w:szCs w:val="20"/>
              </w:rPr>
              <w:t>-12.7%</w:t>
            </w:r>
          </w:p>
        </w:tc>
      </w:tr>
      <w:tr w:rsidR="00844097" w:rsidRPr="00844097" w14:paraId="1EB18F54" w14:textId="77777777" w:rsidTr="000C61EC">
        <w:trPr>
          <w:trHeight w:val="150"/>
        </w:trPr>
        <w:tc>
          <w:tcPr>
            <w:tcW w:w="13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3E6F84D" w14:textId="77777777" w:rsidR="008B4767" w:rsidRPr="00A3557D" w:rsidRDefault="008B4767" w:rsidP="00A3557D">
            <w:pPr>
              <w:spacing w:after="0" w:line="240" w:lineRule="auto"/>
              <w:rPr>
                <w:sz w:val="20"/>
                <w:szCs w:val="20"/>
              </w:rPr>
            </w:pPr>
            <w:r w:rsidRPr="00A3557D">
              <w:rPr>
                <w:sz w:val="20"/>
                <w:szCs w:val="20"/>
              </w:rPr>
              <w:t>MIT</w:t>
            </w:r>
          </w:p>
        </w:tc>
        <w:tc>
          <w:tcPr>
            <w:tcW w:w="8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6ED055AC" w14:textId="77777777" w:rsidR="008B4767" w:rsidRPr="00A3557D" w:rsidRDefault="008B4767" w:rsidP="004A5B1F">
            <w:pPr>
              <w:spacing w:after="0" w:line="240" w:lineRule="auto"/>
              <w:jc w:val="center"/>
              <w:rPr>
                <w:sz w:val="20"/>
                <w:szCs w:val="20"/>
              </w:rPr>
            </w:pPr>
            <w:r w:rsidRPr="00A3557D">
              <w:rPr>
                <w:sz w:val="20"/>
                <w:szCs w:val="20"/>
              </w:rPr>
              <w:t>63.8%</w:t>
            </w:r>
          </w:p>
        </w:tc>
        <w:tc>
          <w:tcPr>
            <w:tcW w:w="8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9738E10" w14:textId="77777777" w:rsidR="008B4767" w:rsidRPr="00A3557D" w:rsidRDefault="008B4767" w:rsidP="004A5B1F">
            <w:pPr>
              <w:spacing w:after="0" w:line="240" w:lineRule="auto"/>
              <w:jc w:val="center"/>
              <w:rPr>
                <w:sz w:val="20"/>
                <w:szCs w:val="20"/>
              </w:rPr>
            </w:pPr>
            <w:r w:rsidRPr="00A3557D">
              <w:rPr>
                <w:sz w:val="20"/>
                <w:szCs w:val="20"/>
              </w:rPr>
              <w:t>66.4%</w:t>
            </w:r>
          </w:p>
        </w:tc>
        <w:tc>
          <w:tcPr>
            <w:tcW w:w="1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11DC8E9" w14:textId="77777777" w:rsidR="008B4767" w:rsidRPr="00A3557D" w:rsidRDefault="008B4767" w:rsidP="004A5B1F">
            <w:pPr>
              <w:spacing w:after="0" w:line="240" w:lineRule="auto"/>
              <w:jc w:val="center"/>
              <w:rPr>
                <w:sz w:val="20"/>
                <w:szCs w:val="20"/>
              </w:rPr>
            </w:pPr>
            <w:r w:rsidRPr="00A3557D">
              <w:rPr>
                <w:sz w:val="20"/>
                <w:szCs w:val="20"/>
              </w:rPr>
              <w:t>-2.6%</w:t>
            </w:r>
          </w:p>
        </w:tc>
      </w:tr>
      <w:tr w:rsidR="00844097" w:rsidRPr="00844097" w14:paraId="4D4FFB4C" w14:textId="77777777" w:rsidTr="000C61EC">
        <w:trPr>
          <w:trHeight w:val="41"/>
        </w:trPr>
        <w:tc>
          <w:tcPr>
            <w:tcW w:w="13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CD44696" w14:textId="77777777" w:rsidR="008B4767" w:rsidRPr="00A3557D" w:rsidRDefault="008B4767" w:rsidP="00A3557D">
            <w:pPr>
              <w:spacing w:after="0" w:line="240" w:lineRule="auto"/>
              <w:rPr>
                <w:sz w:val="20"/>
                <w:szCs w:val="20"/>
              </w:rPr>
            </w:pPr>
            <w:r w:rsidRPr="00A3557D">
              <w:rPr>
                <w:sz w:val="20"/>
                <w:szCs w:val="20"/>
              </w:rPr>
              <w:t>AUT</w:t>
            </w:r>
          </w:p>
        </w:tc>
        <w:tc>
          <w:tcPr>
            <w:tcW w:w="8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6A49D65" w14:textId="77777777" w:rsidR="008B4767" w:rsidRPr="00A3557D" w:rsidRDefault="008B4767" w:rsidP="004A5B1F">
            <w:pPr>
              <w:spacing w:after="0" w:line="240" w:lineRule="auto"/>
              <w:jc w:val="center"/>
              <w:rPr>
                <w:sz w:val="20"/>
                <w:szCs w:val="20"/>
              </w:rPr>
            </w:pPr>
            <w:r w:rsidRPr="00A3557D">
              <w:rPr>
                <w:sz w:val="20"/>
                <w:szCs w:val="20"/>
              </w:rPr>
              <w:t>71.5%</w:t>
            </w:r>
          </w:p>
        </w:tc>
        <w:tc>
          <w:tcPr>
            <w:tcW w:w="8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436E84F" w14:textId="77777777" w:rsidR="008B4767" w:rsidRPr="00A3557D" w:rsidRDefault="008B4767" w:rsidP="004A5B1F">
            <w:pPr>
              <w:spacing w:after="0" w:line="240" w:lineRule="auto"/>
              <w:jc w:val="center"/>
              <w:rPr>
                <w:sz w:val="20"/>
                <w:szCs w:val="20"/>
              </w:rPr>
            </w:pPr>
            <w:r w:rsidRPr="00A3557D">
              <w:rPr>
                <w:sz w:val="20"/>
                <w:szCs w:val="20"/>
              </w:rPr>
              <w:t>78.5%</w:t>
            </w:r>
          </w:p>
        </w:tc>
        <w:tc>
          <w:tcPr>
            <w:tcW w:w="1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97AF685" w14:textId="77777777" w:rsidR="008B4767" w:rsidRPr="00A3557D" w:rsidRDefault="008B4767" w:rsidP="004A5B1F">
            <w:pPr>
              <w:spacing w:after="0" w:line="240" w:lineRule="auto"/>
              <w:jc w:val="center"/>
              <w:rPr>
                <w:sz w:val="20"/>
                <w:szCs w:val="20"/>
              </w:rPr>
            </w:pPr>
            <w:r w:rsidRPr="00A3557D">
              <w:rPr>
                <w:sz w:val="20"/>
                <w:szCs w:val="20"/>
              </w:rPr>
              <w:t>-7.0%</w:t>
            </w:r>
          </w:p>
        </w:tc>
      </w:tr>
      <w:tr w:rsidR="00844097" w:rsidRPr="00844097" w14:paraId="1F4729A1" w14:textId="77777777" w:rsidTr="000C61EC">
        <w:trPr>
          <w:trHeight w:val="275"/>
        </w:trPr>
        <w:tc>
          <w:tcPr>
            <w:tcW w:w="13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068682E" w14:textId="77777777" w:rsidR="008B4767" w:rsidRPr="00A3557D" w:rsidRDefault="008B4767" w:rsidP="00A3557D">
            <w:pPr>
              <w:spacing w:after="0" w:line="240" w:lineRule="auto"/>
              <w:rPr>
                <w:sz w:val="20"/>
                <w:szCs w:val="20"/>
              </w:rPr>
            </w:pPr>
            <w:r w:rsidRPr="00A3557D">
              <w:rPr>
                <w:sz w:val="20"/>
                <w:szCs w:val="20"/>
              </w:rPr>
              <w:t>University of Auckland</w:t>
            </w:r>
          </w:p>
        </w:tc>
        <w:tc>
          <w:tcPr>
            <w:tcW w:w="8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07170D3" w14:textId="77777777" w:rsidR="008B4767" w:rsidRPr="00A3557D" w:rsidRDefault="008B4767" w:rsidP="004A5B1F">
            <w:pPr>
              <w:spacing w:after="0" w:line="240" w:lineRule="auto"/>
              <w:jc w:val="center"/>
              <w:rPr>
                <w:sz w:val="20"/>
                <w:szCs w:val="20"/>
              </w:rPr>
            </w:pPr>
            <w:r w:rsidRPr="00A3557D">
              <w:rPr>
                <w:sz w:val="20"/>
                <w:szCs w:val="20"/>
              </w:rPr>
              <w:t>77.4%</w:t>
            </w:r>
          </w:p>
        </w:tc>
        <w:tc>
          <w:tcPr>
            <w:tcW w:w="8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6B020666" w14:textId="77777777" w:rsidR="008B4767" w:rsidRPr="00A3557D" w:rsidRDefault="008B4767" w:rsidP="004A5B1F">
            <w:pPr>
              <w:spacing w:after="0" w:line="240" w:lineRule="auto"/>
              <w:jc w:val="center"/>
              <w:rPr>
                <w:sz w:val="20"/>
                <w:szCs w:val="20"/>
              </w:rPr>
            </w:pPr>
            <w:r w:rsidRPr="00A3557D">
              <w:rPr>
                <w:sz w:val="20"/>
                <w:szCs w:val="20"/>
              </w:rPr>
              <w:t>82.5%</w:t>
            </w:r>
          </w:p>
        </w:tc>
        <w:tc>
          <w:tcPr>
            <w:tcW w:w="1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7BC564A" w14:textId="77777777" w:rsidR="008B4767" w:rsidRPr="00A3557D" w:rsidRDefault="008B4767" w:rsidP="004A5B1F">
            <w:pPr>
              <w:spacing w:after="0" w:line="240" w:lineRule="auto"/>
              <w:jc w:val="center"/>
              <w:rPr>
                <w:sz w:val="20"/>
                <w:szCs w:val="20"/>
              </w:rPr>
            </w:pPr>
            <w:r w:rsidRPr="00A3557D">
              <w:rPr>
                <w:sz w:val="20"/>
                <w:szCs w:val="20"/>
              </w:rPr>
              <w:t>-5.1%</w:t>
            </w:r>
          </w:p>
        </w:tc>
      </w:tr>
      <w:tr w:rsidR="00844097" w:rsidRPr="00844097" w14:paraId="18264CA4" w14:textId="77777777" w:rsidTr="000C61EC">
        <w:trPr>
          <w:trHeight w:val="35"/>
        </w:trPr>
        <w:tc>
          <w:tcPr>
            <w:tcW w:w="13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814C9AD" w14:textId="77777777" w:rsidR="008B4767" w:rsidRPr="00A3557D" w:rsidRDefault="008B4767" w:rsidP="00A3557D">
            <w:pPr>
              <w:spacing w:after="0" w:line="240" w:lineRule="auto"/>
              <w:rPr>
                <w:sz w:val="20"/>
                <w:szCs w:val="20"/>
              </w:rPr>
            </w:pPr>
            <w:r w:rsidRPr="00A3557D">
              <w:rPr>
                <w:sz w:val="20"/>
                <w:szCs w:val="20"/>
              </w:rPr>
              <w:t>ITP Sector</w:t>
            </w:r>
          </w:p>
        </w:tc>
        <w:tc>
          <w:tcPr>
            <w:tcW w:w="8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2089B091" w14:textId="77777777" w:rsidR="008B4767" w:rsidRPr="00A3557D" w:rsidRDefault="008B4767" w:rsidP="004A5B1F">
            <w:pPr>
              <w:spacing w:after="0" w:line="240" w:lineRule="auto"/>
              <w:jc w:val="center"/>
              <w:rPr>
                <w:sz w:val="20"/>
                <w:szCs w:val="20"/>
              </w:rPr>
            </w:pPr>
            <w:r w:rsidRPr="00A3557D">
              <w:rPr>
                <w:sz w:val="20"/>
                <w:szCs w:val="20"/>
              </w:rPr>
              <w:t>53.9%</w:t>
            </w:r>
          </w:p>
        </w:tc>
        <w:tc>
          <w:tcPr>
            <w:tcW w:w="81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5D475F6D" w14:textId="77777777" w:rsidR="008B4767" w:rsidRPr="00A3557D" w:rsidRDefault="008B4767" w:rsidP="004A5B1F">
            <w:pPr>
              <w:spacing w:after="0" w:line="240" w:lineRule="auto"/>
              <w:jc w:val="center"/>
              <w:rPr>
                <w:sz w:val="20"/>
                <w:szCs w:val="20"/>
              </w:rPr>
            </w:pPr>
            <w:r w:rsidRPr="00A3557D">
              <w:rPr>
                <w:sz w:val="20"/>
                <w:szCs w:val="20"/>
              </w:rPr>
              <w:t>62.6%</w:t>
            </w:r>
          </w:p>
        </w:tc>
        <w:tc>
          <w:tcPr>
            <w:tcW w:w="1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1624ADA5" w14:textId="77777777" w:rsidR="008B4767" w:rsidRPr="00A3557D" w:rsidRDefault="008B4767" w:rsidP="004A5B1F">
            <w:pPr>
              <w:spacing w:after="0" w:line="240" w:lineRule="auto"/>
              <w:jc w:val="center"/>
              <w:rPr>
                <w:sz w:val="20"/>
                <w:szCs w:val="20"/>
              </w:rPr>
            </w:pPr>
            <w:r w:rsidRPr="00A3557D">
              <w:rPr>
                <w:sz w:val="20"/>
                <w:szCs w:val="20"/>
              </w:rPr>
              <w:t>-8.7%</w:t>
            </w:r>
          </w:p>
        </w:tc>
      </w:tr>
    </w:tbl>
    <w:p w14:paraId="6F882ACF" w14:textId="0E68994C" w:rsidR="008B4767" w:rsidRDefault="008B4767" w:rsidP="00A3557D">
      <w:r w:rsidRPr="003E6C42">
        <w:rPr>
          <w:noProof/>
          <w:lang w:eastAsia="en-NZ"/>
        </w:rPr>
        <w:drawing>
          <wp:inline distT="0" distB="0" distL="0" distR="0" wp14:anchorId="0F70C03F" wp14:editId="738BD945">
            <wp:extent cx="2576195" cy="1924216"/>
            <wp:effectExtent l="0" t="0" r="1460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t xml:space="preserve">    </w:t>
      </w:r>
    </w:p>
    <w:p w14:paraId="55DF3485" w14:textId="77777777" w:rsidR="008B4767" w:rsidRPr="00B93457" w:rsidRDefault="009F4ADE" w:rsidP="008B4767">
      <w:pPr>
        <w:pStyle w:val="Heading2"/>
        <w:rPr>
          <w:lang w:val="mi-NZ"/>
        </w:rPr>
      </w:pPr>
      <w:r>
        <w:t>3</w:t>
      </w:r>
      <w:r w:rsidR="008B4767">
        <w:t>.3.2 Pacific</w:t>
      </w:r>
    </w:p>
    <w:p w14:paraId="6EEEACC1" w14:textId="77777777" w:rsidR="008B4767" w:rsidRDefault="008B4767" w:rsidP="008B4767">
      <w:r>
        <w:t xml:space="preserve">The variance between Pacific and non-Pacific students in First Year Retention rate narrowed down to reach its lowest in 2015, then took on a sharp rising trend to reach -13.6% in 2017. The </w:t>
      </w:r>
      <w:r w:rsidR="004A5B1F">
        <w:t>variance wa</w:t>
      </w:r>
      <w:r>
        <w:t>s larger than the -8.8% achieved by AUT and greater than the ITP Sector average of -5.1% with which MIT an</w:t>
      </w:r>
      <w:r w:rsidR="004A5B1F">
        <w:t>d the University of Auckland were</w:t>
      </w:r>
      <w:r>
        <w:t xml:space="preserve"> on par, achieving -5.6% and -5.3% respectiv</w:t>
      </w:r>
      <w:r w:rsidR="004A5B1F">
        <w:t>ely.  In 2018, variance now sat</w:t>
      </w:r>
      <w:r>
        <w:t xml:space="preserve"> at a very concerning -17.2%.</w:t>
      </w:r>
      <w:r w:rsidR="00A3557D">
        <w:t xml:space="preserve"> </w:t>
      </w:r>
    </w:p>
    <w:tbl>
      <w:tblPr>
        <w:tblpPr w:leftFromText="180" w:rightFromText="180" w:vertAnchor="text" w:horzAnchor="margin" w:tblpXSpec="right" w:tblpY="-114"/>
        <w:tblW w:w="4121" w:type="dxa"/>
        <w:tblCellMar>
          <w:left w:w="0" w:type="dxa"/>
          <w:right w:w="0" w:type="dxa"/>
        </w:tblCellMar>
        <w:tblLook w:val="0420" w:firstRow="1" w:lastRow="0" w:firstColumn="0" w:lastColumn="0" w:noHBand="0" w:noVBand="1"/>
      </w:tblPr>
      <w:tblGrid>
        <w:gridCol w:w="1417"/>
        <w:gridCol w:w="710"/>
        <w:gridCol w:w="854"/>
        <w:gridCol w:w="1140"/>
      </w:tblGrid>
      <w:tr w:rsidR="000C61EC" w:rsidRPr="00A3557D" w14:paraId="4BB96DB1" w14:textId="77777777" w:rsidTr="000C61EC">
        <w:trPr>
          <w:trHeight w:val="336"/>
        </w:trPr>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55664B2B" w14:textId="77777777" w:rsidR="000C61EC" w:rsidRPr="00A3557D" w:rsidRDefault="000C61EC" w:rsidP="000C61EC">
            <w:pPr>
              <w:spacing w:after="0"/>
              <w:rPr>
                <w:sz w:val="20"/>
                <w:szCs w:val="20"/>
              </w:rPr>
            </w:pPr>
            <w:r w:rsidRPr="00A3557D">
              <w:rPr>
                <w:b/>
                <w:bCs/>
                <w:sz w:val="20"/>
                <w:szCs w:val="20"/>
              </w:rPr>
              <w:lastRenderedPageBreak/>
              <w:t>2017 Benchmarks</w:t>
            </w:r>
          </w:p>
        </w:tc>
        <w:tc>
          <w:tcPr>
            <w:tcW w:w="71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505E8F8E" w14:textId="77777777" w:rsidR="000C61EC" w:rsidRPr="00A3557D" w:rsidRDefault="000C61EC" w:rsidP="000C61EC">
            <w:pPr>
              <w:spacing w:after="0"/>
              <w:rPr>
                <w:sz w:val="20"/>
                <w:szCs w:val="20"/>
              </w:rPr>
            </w:pPr>
            <w:r w:rsidRPr="00A3557D">
              <w:rPr>
                <w:b/>
                <w:bCs/>
                <w:sz w:val="20"/>
                <w:szCs w:val="20"/>
              </w:rPr>
              <w:t>Pacific</w:t>
            </w:r>
          </w:p>
        </w:tc>
        <w:tc>
          <w:tcPr>
            <w:tcW w:w="85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56B619BE" w14:textId="77777777" w:rsidR="000C61EC" w:rsidRPr="00A3557D" w:rsidRDefault="000C61EC" w:rsidP="000C61EC">
            <w:pPr>
              <w:spacing w:after="0"/>
              <w:jc w:val="center"/>
              <w:rPr>
                <w:sz w:val="20"/>
                <w:szCs w:val="20"/>
              </w:rPr>
            </w:pPr>
            <w:r w:rsidRPr="00A3557D">
              <w:rPr>
                <w:b/>
                <w:bCs/>
                <w:sz w:val="20"/>
                <w:szCs w:val="20"/>
              </w:rPr>
              <w:t>Non-Pacific</w:t>
            </w:r>
          </w:p>
        </w:tc>
        <w:tc>
          <w:tcPr>
            <w:tcW w:w="11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vAlign w:val="center"/>
            <w:hideMark/>
          </w:tcPr>
          <w:p w14:paraId="23068217" w14:textId="77777777" w:rsidR="000C61EC" w:rsidRPr="00A3557D" w:rsidRDefault="000C61EC" w:rsidP="000C61EC">
            <w:pPr>
              <w:spacing w:after="0"/>
              <w:jc w:val="center"/>
              <w:rPr>
                <w:sz w:val="20"/>
                <w:szCs w:val="20"/>
              </w:rPr>
            </w:pPr>
            <w:r w:rsidRPr="00A3557D">
              <w:rPr>
                <w:b/>
                <w:bCs/>
                <w:sz w:val="20"/>
                <w:szCs w:val="20"/>
              </w:rPr>
              <w:t>variance</w:t>
            </w:r>
          </w:p>
        </w:tc>
      </w:tr>
      <w:tr w:rsidR="000C61EC" w:rsidRPr="00A3557D" w14:paraId="240952D6" w14:textId="77777777" w:rsidTr="000C61EC">
        <w:trPr>
          <w:trHeight w:val="273"/>
        </w:trPr>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3B20821" w14:textId="77777777" w:rsidR="000C61EC" w:rsidRPr="00A3557D" w:rsidRDefault="000C61EC" w:rsidP="000C61EC">
            <w:pPr>
              <w:spacing w:after="0"/>
              <w:rPr>
                <w:sz w:val="20"/>
                <w:szCs w:val="20"/>
              </w:rPr>
            </w:pPr>
            <w:r w:rsidRPr="00A3557D">
              <w:rPr>
                <w:sz w:val="20"/>
                <w:szCs w:val="20"/>
              </w:rPr>
              <w:t>Unitec</w:t>
            </w:r>
          </w:p>
        </w:tc>
        <w:tc>
          <w:tcPr>
            <w:tcW w:w="7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FEE91E2" w14:textId="77777777" w:rsidR="000C61EC" w:rsidRPr="00A3557D" w:rsidRDefault="000C61EC" w:rsidP="000C61EC">
            <w:pPr>
              <w:spacing w:after="0"/>
              <w:jc w:val="right"/>
              <w:rPr>
                <w:sz w:val="20"/>
                <w:szCs w:val="20"/>
              </w:rPr>
            </w:pPr>
            <w:r w:rsidRPr="00A3557D">
              <w:rPr>
                <w:sz w:val="20"/>
                <w:szCs w:val="20"/>
              </w:rPr>
              <w:t>59.1%</w:t>
            </w:r>
          </w:p>
        </w:tc>
        <w:tc>
          <w:tcPr>
            <w:tcW w:w="85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E5F7845" w14:textId="77777777" w:rsidR="000C61EC" w:rsidRPr="00A3557D" w:rsidRDefault="000C61EC" w:rsidP="000C61EC">
            <w:pPr>
              <w:spacing w:after="0"/>
              <w:jc w:val="right"/>
              <w:rPr>
                <w:sz w:val="20"/>
                <w:szCs w:val="20"/>
              </w:rPr>
            </w:pPr>
            <w:r w:rsidRPr="00A3557D">
              <w:rPr>
                <w:sz w:val="20"/>
                <w:szCs w:val="20"/>
              </w:rPr>
              <w:t>72.7%</w:t>
            </w:r>
          </w:p>
        </w:tc>
        <w:tc>
          <w:tcPr>
            <w:tcW w:w="11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2F95E1EF" w14:textId="77777777" w:rsidR="000C61EC" w:rsidRPr="00A3557D" w:rsidRDefault="000C61EC" w:rsidP="000C61EC">
            <w:pPr>
              <w:spacing w:after="0"/>
              <w:jc w:val="right"/>
              <w:rPr>
                <w:sz w:val="20"/>
                <w:szCs w:val="20"/>
              </w:rPr>
            </w:pPr>
            <w:r w:rsidRPr="00A3557D">
              <w:rPr>
                <w:sz w:val="20"/>
                <w:szCs w:val="20"/>
              </w:rPr>
              <w:t>-13.6%</w:t>
            </w:r>
          </w:p>
        </w:tc>
      </w:tr>
      <w:tr w:rsidR="000C61EC" w:rsidRPr="00A3557D" w14:paraId="22B6DD24" w14:textId="77777777" w:rsidTr="000C61EC">
        <w:trPr>
          <w:trHeight w:val="273"/>
        </w:trPr>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4BB9A63" w14:textId="77777777" w:rsidR="000C61EC" w:rsidRPr="00A3557D" w:rsidRDefault="000C61EC" w:rsidP="000C61EC">
            <w:pPr>
              <w:spacing w:after="0"/>
              <w:rPr>
                <w:sz w:val="20"/>
                <w:szCs w:val="20"/>
              </w:rPr>
            </w:pPr>
            <w:r w:rsidRPr="00A3557D">
              <w:rPr>
                <w:sz w:val="20"/>
                <w:szCs w:val="20"/>
              </w:rPr>
              <w:t>MIT</w:t>
            </w:r>
          </w:p>
        </w:tc>
        <w:tc>
          <w:tcPr>
            <w:tcW w:w="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C1E75BE" w14:textId="77777777" w:rsidR="000C61EC" w:rsidRPr="00A3557D" w:rsidRDefault="000C61EC" w:rsidP="000C61EC">
            <w:pPr>
              <w:spacing w:after="0"/>
              <w:jc w:val="right"/>
              <w:rPr>
                <w:sz w:val="20"/>
                <w:szCs w:val="20"/>
              </w:rPr>
            </w:pPr>
            <w:r w:rsidRPr="00A3557D">
              <w:rPr>
                <w:sz w:val="20"/>
                <w:szCs w:val="20"/>
              </w:rPr>
              <w:t>62.1%</w:t>
            </w:r>
          </w:p>
        </w:tc>
        <w:tc>
          <w:tcPr>
            <w:tcW w:w="85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797F98D" w14:textId="77777777" w:rsidR="000C61EC" w:rsidRPr="00A3557D" w:rsidRDefault="000C61EC" w:rsidP="000C61EC">
            <w:pPr>
              <w:spacing w:after="0"/>
              <w:jc w:val="right"/>
              <w:rPr>
                <w:sz w:val="20"/>
                <w:szCs w:val="20"/>
              </w:rPr>
            </w:pPr>
            <w:r w:rsidRPr="00A3557D">
              <w:rPr>
                <w:sz w:val="20"/>
                <w:szCs w:val="20"/>
              </w:rPr>
              <w:t>67.7%</w:t>
            </w:r>
          </w:p>
        </w:tc>
        <w:tc>
          <w:tcPr>
            <w:tcW w:w="1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C4D760E" w14:textId="77777777" w:rsidR="000C61EC" w:rsidRPr="00A3557D" w:rsidRDefault="000C61EC" w:rsidP="000C61EC">
            <w:pPr>
              <w:spacing w:after="0"/>
              <w:jc w:val="right"/>
              <w:rPr>
                <w:sz w:val="20"/>
                <w:szCs w:val="20"/>
              </w:rPr>
            </w:pPr>
            <w:r w:rsidRPr="00A3557D">
              <w:rPr>
                <w:sz w:val="20"/>
                <w:szCs w:val="20"/>
              </w:rPr>
              <w:t>-5.6%</w:t>
            </w:r>
          </w:p>
        </w:tc>
      </w:tr>
      <w:tr w:rsidR="000C61EC" w:rsidRPr="00A3557D" w14:paraId="093C062B" w14:textId="77777777" w:rsidTr="000C61EC">
        <w:trPr>
          <w:trHeight w:val="273"/>
        </w:trPr>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C4E70B0" w14:textId="77777777" w:rsidR="000C61EC" w:rsidRPr="00A3557D" w:rsidRDefault="000C61EC" w:rsidP="000C61EC">
            <w:pPr>
              <w:spacing w:after="0"/>
              <w:rPr>
                <w:sz w:val="20"/>
                <w:szCs w:val="20"/>
              </w:rPr>
            </w:pPr>
            <w:r w:rsidRPr="00A3557D">
              <w:rPr>
                <w:sz w:val="20"/>
                <w:szCs w:val="20"/>
              </w:rPr>
              <w:t>AUT</w:t>
            </w:r>
          </w:p>
        </w:tc>
        <w:tc>
          <w:tcPr>
            <w:tcW w:w="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845FC22" w14:textId="77777777" w:rsidR="000C61EC" w:rsidRPr="00A3557D" w:rsidRDefault="000C61EC" w:rsidP="000C61EC">
            <w:pPr>
              <w:spacing w:after="0"/>
              <w:jc w:val="right"/>
              <w:rPr>
                <w:sz w:val="20"/>
                <w:szCs w:val="20"/>
              </w:rPr>
            </w:pPr>
            <w:r w:rsidRPr="00A3557D">
              <w:rPr>
                <w:sz w:val="20"/>
                <w:szCs w:val="20"/>
              </w:rPr>
              <w:t>70.5%</w:t>
            </w:r>
          </w:p>
        </w:tc>
        <w:tc>
          <w:tcPr>
            <w:tcW w:w="8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3FE68948" w14:textId="77777777" w:rsidR="000C61EC" w:rsidRPr="00A3557D" w:rsidRDefault="000C61EC" w:rsidP="000C61EC">
            <w:pPr>
              <w:spacing w:after="0"/>
              <w:jc w:val="right"/>
              <w:rPr>
                <w:sz w:val="20"/>
                <w:szCs w:val="20"/>
              </w:rPr>
            </w:pPr>
            <w:r w:rsidRPr="00A3557D">
              <w:rPr>
                <w:sz w:val="20"/>
                <w:szCs w:val="20"/>
              </w:rPr>
              <w:t>79.3%</w:t>
            </w:r>
          </w:p>
        </w:tc>
        <w:tc>
          <w:tcPr>
            <w:tcW w:w="1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0A2D5C56" w14:textId="77777777" w:rsidR="000C61EC" w:rsidRPr="00A3557D" w:rsidRDefault="000C61EC" w:rsidP="000C61EC">
            <w:pPr>
              <w:spacing w:after="0"/>
              <w:jc w:val="right"/>
              <w:rPr>
                <w:sz w:val="20"/>
                <w:szCs w:val="20"/>
              </w:rPr>
            </w:pPr>
            <w:r w:rsidRPr="00A3557D">
              <w:rPr>
                <w:sz w:val="20"/>
                <w:szCs w:val="20"/>
              </w:rPr>
              <w:t>-8.8%</w:t>
            </w:r>
          </w:p>
        </w:tc>
      </w:tr>
      <w:tr w:rsidR="000C61EC" w:rsidRPr="00A3557D" w14:paraId="0F599F0C" w14:textId="77777777" w:rsidTr="000C61EC">
        <w:trPr>
          <w:trHeight w:val="273"/>
        </w:trPr>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EC55891" w14:textId="77777777" w:rsidR="000C61EC" w:rsidRPr="00A3557D" w:rsidRDefault="000C61EC" w:rsidP="000C61EC">
            <w:pPr>
              <w:spacing w:after="0"/>
              <w:rPr>
                <w:sz w:val="20"/>
                <w:szCs w:val="20"/>
              </w:rPr>
            </w:pPr>
            <w:r w:rsidRPr="00A3557D">
              <w:rPr>
                <w:sz w:val="20"/>
                <w:szCs w:val="20"/>
              </w:rPr>
              <w:t>University of Auckland</w:t>
            </w:r>
          </w:p>
        </w:tc>
        <w:tc>
          <w:tcPr>
            <w:tcW w:w="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3E38E50" w14:textId="77777777" w:rsidR="000C61EC" w:rsidRPr="00A3557D" w:rsidRDefault="000C61EC" w:rsidP="000C61EC">
            <w:pPr>
              <w:spacing w:after="0"/>
              <w:jc w:val="right"/>
              <w:rPr>
                <w:sz w:val="20"/>
                <w:szCs w:val="20"/>
              </w:rPr>
            </w:pPr>
            <w:r w:rsidRPr="00A3557D">
              <w:rPr>
                <w:sz w:val="20"/>
                <w:szCs w:val="20"/>
              </w:rPr>
              <w:t>77.3%</w:t>
            </w:r>
          </w:p>
        </w:tc>
        <w:tc>
          <w:tcPr>
            <w:tcW w:w="85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BD77285" w14:textId="77777777" w:rsidR="000C61EC" w:rsidRPr="00A3557D" w:rsidRDefault="000C61EC" w:rsidP="000C61EC">
            <w:pPr>
              <w:spacing w:after="0"/>
              <w:jc w:val="right"/>
              <w:rPr>
                <w:sz w:val="20"/>
                <w:szCs w:val="20"/>
              </w:rPr>
            </w:pPr>
            <w:r w:rsidRPr="00A3557D">
              <w:rPr>
                <w:sz w:val="20"/>
                <w:szCs w:val="20"/>
              </w:rPr>
              <w:t>82.6%</w:t>
            </w:r>
          </w:p>
        </w:tc>
        <w:tc>
          <w:tcPr>
            <w:tcW w:w="11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35141E3" w14:textId="77777777" w:rsidR="000C61EC" w:rsidRPr="00A3557D" w:rsidRDefault="000C61EC" w:rsidP="000C61EC">
            <w:pPr>
              <w:spacing w:after="0"/>
              <w:jc w:val="right"/>
              <w:rPr>
                <w:sz w:val="20"/>
                <w:szCs w:val="20"/>
              </w:rPr>
            </w:pPr>
            <w:r w:rsidRPr="00A3557D">
              <w:rPr>
                <w:sz w:val="20"/>
                <w:szCs w:val="20"/>
              </w:rPr>
              <w:t>-5.3%</w:t>
            </w:r>
          </w:p>
        </w:tc>
      </w:tr>
      <w:tr w:rsidR="000C61EC" w:rsidRPr="00A3557D" w14:paraId="29DEC251" w14:textId="77777777" w:rsidTr="000C61EC">
        <w:trPr>
          <w:trHeight w:val="336"/>
        </w:trPr>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C375351" w14:textId="77777777" w:rsidR="000C61EC" w:rsidRPr="00A3557D" w:rsidRDefault="000C61EC" w:rsidP="000C61EC">
            <w:pPr>
              <w:spacing w:after="0"/>
              <w:rPr>
                <w:sz w:val="20"/>
                <w:szCs w:val="20"/>
              </w:rPr>
            </w:pPr>
            <w:r w:rsidRPr="00A3557D">
              <w:rPr>
                <w:sz w:val="20"/>
                <w:szCs w:val="20"/>
              </w:rPr>
              <w:t>ITP Sector</w:t>
            </w:r>
          </w:p>
        </w:tc>
        <w:tc>
          <w:tcPr>
            <w:tcW w:w="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18440F6" w14:textId="77777777" w:rsidR="000C61EC" w:rsidRPr="00A3557D" w:rsidRDefault="000C61EC" w:rsidP="000C61EC">
            <w:pPr>
              <w:spacing w:after="0"/>
              <w:jc w:val="right"/>
              <w:rPr>
                <w:sz w:val="20"/>
                <w:szCs w:val="20"/>
              </w:rPr>
            </w:pPr>
            <w:r w:rsidRPr="00A3557D">
              <w:rPr>
                <w:sz w:val="20"/>
                <w:szCs w:val="20"/>
              </w:rPr>
              <w:t>56.8%</w:t>
            </w:r>
          </w:p>
        </w:tc>
        <w:tc>
          <w:tcPr>
            <w:tcW w:w="8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9BD04FD" w14:textId="77777777" w:rsidR="000C61EC" w:rsidRPr="00A3557D" w:rsidRDefault="000C61EC" w:rsidP="000C61EC">
            <w:pPr>
              <w:spacing w:after="0"/>
              <w:jc w:val="right"/>
              <w:rPr>
                <w:sz w:val="20"/>
                <w:szCs w:val="20"/>
              </w:rPr>
            </w:pPr>
            <w:r w:rsidRPr="00A3557D">
              <w:rPr>
                <w:sz w:val="20"/>
                <w:szCs w:val="20"/>
              </w:rPr>
              <w:t>61.9%</w:t>
            </w:r>
          </w:p>
        </w:tc>
        <w:tc>
          <w:tcPr>
            <w:tcW w:w="11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63756634" w14:textId="77777777" w:rsidR="000C61EC" w:rsidRPr="00A3557D" w:rsidRDefault="000C61EC" w:rsidP="000C61EC">
            <w:pPr>
              <w:spacing w:after="0"/>
              <w:jc w:val="right"/>
              <w:rPr>
                <w:sz w:val="20"/>
                <w:szCs w:val="20"/>
              </w:rPr>
            </w:pPr>
            <w:r w:rsidRPr="00A3557D">
              <w:rPr>
                <w:sz w:val="20"/>
                <w:szCs w:val="20"/>
              </w:rPr>
              <w:t>-5.1%</w:t>
            </w:r>
          </w:p>
        </w:tc>
      </w:tr>
    </w:tbl>
    <w:p w14:paraId="61D166B4" w14:textId="77777777" w:rsidR="000C61EC" w:rsidRDefault="000C61EC" w:rsidP="008B4767">
      <w:r w:rsidRPr="00F30E4E">
        <w:rPr>
          <w:noProof/>
          <w:lang w:eastAsia="en-NZ"/>
        </w:rPr>
        <w:drawing>
          <wp:inline distT="0" distB="0" distL="0" distR="0" wp14:anchorId="571B2899" wp14:editId="47F14B3A">
            <wp:extent cx="2574950" cy="1923898"/>
            <wp:effectExtent l="0" t="0" r="15875" b="63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5DF9F5" w14:textId="77777777" w:rsidR="008B4767" w:rsidRDefault="008B4767" w:rsidP="008B4767"/>
    <w:p w14:paraId="654AFB6D" w14:textId="77777777" w:rsidR="008B4767" w:rsidRDefault="009F4ADE" w:rsidP="008B4767">
      <w:pPr>
        <w:pStyle w:val="Heading2"/>
      </w:pPr>
      <w:r>
        <w:t>3</w:t>
      </w:r>
      <w:r w:rsidR="008B4767">
        <w:t>.3.3 Under 25 years</w:t>
      </w:r>
    </w:p>
    <w:p w14:paraId="089C731F" w14:textId="3C97E242" w:rsidR="001D6E01" w:rsidRDefault="00CC2838" w:rsidP="00C2234C">
      <w:r>
        <w:t xml:space="preserve">In 2017, </w:t>
      </w:r>
      <w:r w:rsidR="00C2234C">
        <w:t>Unitec</w:t>
      </w:r>
      <w:r w:rsidR="005D1F03">
        <w:t xml:space="preserve"> </w:t>
      </w:r>
      <w:r w:rsidR="00A02E9D">
        <w:t xml:space="preserve">had the </w:t>
      </w:r>
      <w:r w:rsidR="001D6E01">
        <w:t>smallest</w:t>
      </w:r>
      <w:r w:rsidR="00A02E9D">
        <w:t xml:space="preserve"> variance of </w:t>
      </w:r>
      <w:r w:rsidR="001D6E01">
        <w:t>3.1</w:t>
      </w:r>
      <w:r w:rsidR="00A02E9D">
        <w:t xml:space="preserve">%, </w:t>
      </w:r>
      <w:r w:rsidR="001D6E01">
        <w:t xml:space="preserve">far below the ITP Sector average of 10.2%, the 9.5% achieved by MIT and 9.3% by the University of Auckland. </w:t>
      </w:r>
      <w:r w:rsidR="00BA3EE8">
        <w:t>However, this gap has since widened to 4.3% due to</w:t>
      </w:r>
      <w:r w:rsidR="00164808">
        <w:t xml:space="preserve"> both an increase in Under 25s retention and</w:t>
      </w:r>
      <w:r w:rsidR="00BA3EE8">
        <w:t xml:space="preserve"> a decrease in 25+ Retention.</w:t>
      </w:r>
    </w:p>
    <w:tbl>
      <w:tblPr>
        <w:tblpPr w:leftFromText="180" w:rightFromText="180" w:vertAnchor="text" w:horzAnchor="page" w:tblpX="5841" w:tblpY="-30"/>
        <w:tblW w:w="4526" w:type="dxa"/>
        <w:tblCellMar>
          <w:left w:w="0" w:type="dxa"/>
          <w:right w:w="0" w:type="dxa"/>
        </w:tblCellMar>
        <w:tblLook w:val="0420" w:firstRow="1" w:lastRow="0" w:firstColumn="0" w:lastColumn="0" w:noHBand="0" w:noVBand="1"/>
      </w:tblPr>
      <w:tblGrid>
        <w:gridCol w:w="1535"/>
        <w:gridCol w:w="1134"/>
        <w:gridCol w:w="571"/>
        <w:gridCol w:w="1286"/>
      </w:tblGrid>
      <w:tr w:rsidR="00286B7D" w:rsidRPr="00C2234C" w14:paraId="48202EC3" w14:textId="77777777" w:rsidTr="00202C6A">
        <w:trPr>
          <w:trHeight w:val="175"/>
        </w:trPr>
        <w:tc>
          <w:tcPr>
            <w:tcW w:w="1622" w:type="dxa"/>
            <w:tcBorders>
              <w:top w:val="single" w:sz="24"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tcPr>
          <w:p w14:paraId="74F91CAA" w14:textId="77777777" w:rsidR="00286B7D" w:rsidRPr="00286B7D" w:rsidRDefault="00286B7D" w:rsidP="00202C6A">
            <w:pPr>
              <w:spacing w:after="0" w:line="240" w:lineRule="auto"/>
              <w:rPr>
                <w:color w:val="FFFFFF" w:themeColor="background1"/>
                <w:sz w:val="20"/>
                <w:szCs w:val="20"/>
              </w:rPr>
            </w:pPr>
            <w:r w:rsidRPr="00286B7D">
              <w:rPr>
                <w:color w:val="FFFFFF" w:themeColor="background1"/>
                <w:sz w:val="20"/>
                <w:szCs w:val="20"/>
              </w:rPr>
              <w:t>2017 Benchmarks</w:t>
            </w:r>
          </w:p>
        </w:tc>
        <w:tc>
          <w:tcPr>
            <w:tcW w:w="1345" w:type="dxa"/>
            <w:tcBorders>
              <w:top w:val="single" w:sz="24" w:space="0" w:color="FFFFFF"/>
              <w:left w:val="single" w:sz="8" w:space="0" w:color="FFFFFF"/>
              <w:bottom w:val="single" w:sz="8" w:space="0" w:color="FFFFFF"/>
              <w:right w:val="single" w:sz="8" w:space="0" w:color="FFFFFF"/>
            </w:tcBorders>
            <w:shd w:val="clear" w:color="auto" w:fill="4472C4" w:themeFill="accent5"/>
            <w:tcMar>
              <w:top w:w="15" w:type="dxa"/>
              <w:left w:w="15" w:type="dxa"/>
              <w:bottom w:w="0" w:type="dxa"/>
              <w:right w:w="15" w:type="dxa"/>
            </w:tcMar>
          </w:tcPr>
          <w:p w14:paraId="13CD8CA3" w14:textId="77777777" w:rsidR="00286B7D" w:rsidRPr="00286B7D" w:rsidRDefault="00286B7D" w:rsidP="00202C6A">
            <w:pPr>
              <w:spacing w:after="0" w:line="240" w:lineRule="auto"/>
              <w:jc w:val="center"/>
              <w:rPr>
                <w:color w:val="FFFFFF" w:themeColor="background1"/>
                <w:sz w:val="20"/>
                <w:szCs w:val="20"/>
              </w:rPr>
            </w:pPr>
            <w:r w:rsidRPr="00286B7D">
              <w:rPr>
                <w:color w:val="FFFFFF" w:themeColor="background1"/>
                <w:sz w:val="20"/>
                <w:szCs w:val="20"/>
              </w:rPr>
              <w:t>Under 25yrs</w:t>
            </w:r>
          </w:p>
        </w:tc>
        <w:tc>
          <w:tcPr>
            <w:tcW w:w="72" w:type="dxa"/>
            <w:tcBorders>
              <w:top w:val="single" w:sz="24" w:space="0" w:color="FFFFFF"/>
              <w:left w:val="single" w:sz="8" w:space="0" w:color="FFFFFF"/>
              <w:bottom w:val="single" w:sz="8" w:space="0" w:color="FFFFFF"/>
              <w:right w:val="single" w:sz="8" w:space="0" w:color="FFFFFF"/>
            </w:tcBorders>
            <w:shd w:val="clear" w:color="auto" w:fill="4472C4" w:themeFill="accent5"/>
            <w:tcMar>
              <w:top w:w="15" w:type="dxa"/>
              <w:left w:w="15" w:type="dxa"/>
              <w:bottom w:w="0" w:type="dxa"/>
              <w:right w:w="15" w:type="dxa"/>
            </w:tcMar>
          </w:tcPr>
          <w:p w14:paraId="4F990BD3" w14:textId="77777777" w:rsidR="00286B7D" w:rsidRPr="00286B7D" w:rsidRDefault="00286B7D" w:rsidP="00202C6A">
            <w:pPr>
              <w:spacing w:after="0" w:line="240" w:lineRule="auto"/>
              <w:jc w:val="center"/>
              <w:rPr>
                <w:color w:val="FFFFFF" w:themeColor="background1"/>
                <w:sz w:val="20"/>
                <w:szCs w:val="20"/>
              </w:rPr>
            </w:pPr>
            <w:r w:rsidRPr="00286B7D">
              <w:rPr>
                <w:color w:val="FFFFFF" w:themeColor="background1"/>
                <w:sz w:val="20"/>
                <w:szCs w:val="20"/>
              </w:rPr>
              <w:t>25+yrs</w:t>
            </w:r>
          </w:p>
        </w:tc>
        <w:tc>
          <w:tcPr>
            <w:tcW w:w="1487" w:type="dxa"/>
            <w:tcBorders>
              <w:top w:val="single" w:sz="24" w:space="0" w:color="FFFFFF"/>
              <w:left w:val="single" w:sz="8" w:space="0" w:color="FFFFFF"/>
              <w:bottom w:val="single" w:sz="8" w:space="0" w:color="FFFFFF"/>
              <w:right w:val="single" w:sz="8" w:space="0" w:color="FFFFFF"/>
            </w:tcBorders>
            <w:shd w:val="clear" w:color="auto" w:fill="4472C4" w:themeFill="accent5"/>
            <w:tcMar>
              <w:top w:w="15" w:type="dxa"/>
              <w:left w:w="15" w:type="dxa"/>
              <w:bottom w:w="0" w:type="dxa"/>
              <w:right w:w="15" w:type="dxa"/>
            </w:tcMar>
          </w:tcPr>
          <w:p w14:paraId="3D6789D9" w14:textId="77777777" w:rsidR="00286B7D" w:rsidRPr="00286B7D" w:rsidRDefault="00286B7D" w:rsidP="00202C6A">
            <w:pPr>
              <w:spacing w:after="0"/>
              <w:jc w:val="center"/>
              <w:rPr>
                <w:color w:val="FFFFFF" w:themeColor="background1"/>
                <w:sz w:val="20"/>
                <w:szCs w:val="20"/>
              </w:rPr>
            </w:pPr>
            <w:r w:rsidRPr="00286B7D">
              <w:rPr>
                <w:color w:val="FFFFFF" w:themeColor="background1"/>
                <w:sz w:val="20"/>
                <w:szCs w:val="20"/>
              </w:rPr>
              <w:t>variance</w:t>
            </w:r>
          </w:p>
        </w:tc>
      </w:tr>
      <w:tr w:rsidR="00E32CB8" w:rsidRPr="00C2234C" w14:paraId="0355F965" w14:textId="77777777" w:rsidTr="00202C6A">
        <w:trPr>
          <w:trHeight w:val="175"/>
        </w:trPr>
        <w:tc>
          <w:tcPr>
            <w:tcW w:w="162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5AEBC05" w14:textId="77777777" w:rsidR="00E32CB8" w:rsidRPr="00A3557D" w:rsidRDefault="00E32CB8" w:rsidP="00202C6A">
            <w:pPr>
              <w:spacing w:after="0" w:line="240" w:lineRule="auto"/>
              <w:rPr>
                <w:sz w:val="20"/>
                <w:szCs w:val="20"/>
              </w:rPr>
            </w:pPr>
            <w:r w:rsidRPr="00A3557D">
              <w:rPr>
                <w:sz w:val="20"/>
                <w:szCs w:val="20"/>
              </w:rPr>
              <w:t>Unitec</w:t>
            </w:r>
          </w:p>
        </w:tc>
        <w:tc>
          <w:tcPr>
            <w:tcW w:w="134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6B6FC2BD" w14:textId="77777777" w:rsidR="00E32CB8" w:rsidRPr="00A3557D" w:rsidRDefault="00E32CB8" w:rsidP="00202C6A">
            <w:pPr>
              <w:spacing w:after="0" w:line="240" w:lineRule="auto"/>
              <w:jc w:val="center"/>
              <w:rPr>
                <w:sz w:val="20"/>
                <w:szCs w:val="20"/>
              </w:rPr>
            </w:pPr>
            <w:r>
              <w:rPr>
                <w:sz w:val="20"/>
                <w:szCs w:val="20"/>
              </w:rPr>
              <w:t>72.5</w:t>
            </w:r>
            <w:r w:rsidRPr="00A3557D">
              <w:rPr>
                <w:sz w:val="20"/>
                <w:szCs w:val="20"/>
              </w:rPr>
              <w:t>%</w:t>
            </w:r>
          </w:p>
        </w:tc>
        <w:tc>
          <w:tcPr>
            <w:tcW w:w="7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398EABF8" w14:textId="77777777" w:rsidR="00E32CB8" w:rsidRPr="00A3557D" w:rsidRDefault="00E32CB8" w:rsidP="00202C6A">
            <w:pPr>
              <w:spacing w:after="0" w:line="240" w:lineRule="auto"/>
              <w:jc w:val="center"/>
              <w:rPr>
                <w:sz w:val="20"/>
                <w:szCs w:val="20"/>
              </w:rPr>
            </w:pPr>
            <w:r>
              <w:rPr>
                <w:sz w:val="20"/>
                <w:szCs w:val="20"/>
              </w:rPr>
              <w:t>69.4</w:t>
            </w:r>
            <w:r w:rsidRPr="00A3557D">
              <w:rPr>
                <w:sz w:val="20"/>
                <w:szCs w:val="20"/>
              </w:rPr>
              <w:t>%</w:t>
            </w:r>
          </w:p>
        </w:tc>
        <w:tc>
          <w:tcPr>
            <w:tcW w:w="148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316824BB" w14:textId="77777777" w:rsidR="00E32CB8" w:rsidRPr="00E32CB8" w:rsidRDefault="00E32CB8" w:rsidP="00202C6A">
            <w:pPr>
              <w:spacing w:after="0"/>
              <w:jc w:val="center"/>
              <w:rPr>
                <w:sz w:val="20"/>
                <w:szCs w:val="20"/>
              </w:rPr>
            </w:pPr>
            <w:r w:rsidRPr="00E32CB8">
              <w:rPr>
                <w:sz w:val="20"/>
                <w:szCs w:val="20"/>
              </w:rPr>
              <w:t>3.10%</w:t>
            </w:r>
          </w:p>
        </w:tc>
      </w:tr>
      <w:tr w:rsidR="00E32CB8" w:rsidRPr="00C2234C" w14:paraId="3F80852A" w14:textId="77777777" w:rsidTr="00202C6A">
        <w:trPr>
          <w:trHeight w:val="175"/>
        </w:trPr>
        <w:tc>
          <w:tcPr>
            <w:tcW w:w="16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44D5AE8" w14:textId="77777777" w:rsidR="00E32CB8" w:rsidRPr="00A3557D" w:rsidRDefault="00E32CB8" w:rsidP="00202C6A">
            <w:pPr>
              <w:spacing w:after="0" w:line="240" w:lineRule="auto"/>
              <w:rPr>
                <w:sz w:val="20"/>
                <w:szCs w:val="20"/>
              </w:rPr>
            </w:pPr>
            <w:r w:rsidRPr="00A3557D">
              <w:rPr>
                <w:sz w:val="20"/>
                <w:szCs w:val="20"/>
              </w:rPr>
              <w:t>MIT</w:t>
            </w:r>
          </w:p>
        </w:tc>
        <w:tc>
          <w:tcPr>
            <w:tcW w:w="1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76A52722" w14:textId="77777777" w:rsidR="00E32CB8" w:rsidRPr="00A3557D" w:rsidRDefault="00E32CB8" w:rsidP="00202C6A">
            <w:pPr>
              <w:spacing w:after="0" w:line="240" w:lineRule="auto"/>
              <w:jc w:val="center"/>
              <w:rPr>
                <w:sz w:val="20"/>
                <w:szCs w:val="20"/>
              </w:rPr>
            </w:pPr>
            <w:r>
              <w:rPr>
                <w:sz w:val="20"/>
                <w:szCs w:val="20"/>
              </w:rPr>
              <w:t>70</w:t>
            </w:r>
            <w:r w:rsidRPr="00A3557D">
              <w:rPr>
                <w:sz w:val="20"/>
                <w:szCs w:val="20"/>
              </w:rPr>
              <w:t>.1%</w:t>
            </w:r>
          </w:p>
        </w:tc>
        <w:tc>
          <w:tcPr>
            <w:tcW w:w="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38DB2DAD" w14:textId="77777777" w:rsidR="00E32CB8" w:rsidRPr="00A3557D" w:rsidRDefault="00E32CB8" w:rsidP="00202C6A">
            <w:pPr>
              <w:spacing w:after="0" w:line="240" w:lineRule="auto"/>
              <w:jc w:val="center"/>
              <w:rPr>
                <w:sz w:val="20"/>
                <w:szCs w:val="20"/>
              </w:rPr>
            </w:pPr>
            <w:r>
              <w:rPr>
                <w:sz w:val="20"/>
                <w:szCs w:val="20"/>
              </w:rPr>
              <w:t>60.6%</w:t>
            </w:r>
          </w:p>
        </w:tc>
        <w:tc>
          <w:tcPr>
            <w:tcW w:w="14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4B741618" w14:textId="77777777" w:rsidR="00E32CB8" w:rsidRPr="00E32CB8" w:rsidRDefault="00E32CB8" w:rsidP="00202C6A">
            <w:pPr>
              <w:spacing w:after="0"/>
              <w:jc w:val="center"/>
              <w:rPr>
                <w:sz w:val="20"/>
                <w:szCs w:val="20"/>
              </w:rPr>
            </w:pPr>
            <w:r w:rsidRPr="00E32CB8">
              <w:rPr>
                <w:sz w:val="20"/>
                <w:szCs w:val="20"/>
              </w:rPr>
              <w:t>9.50%</w:t>
            </w:r>
          </w:p>
        </w:tc>
      </w:tr>
      <w:tr w:rsidR="00E32CB8" w:rsidRPr="00C2234C" w14:paraId="0FF90CD1" w14:textId="77777777" w:rsidTr="00202C6A">
        <w:trPr>
          <w:trHeight w:val="175"/>
        </w:trPr>
        <w:tc>
          <w:tcPr>
            <w:tcW w:w="16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0816C0F" w14:textId="77777777" w:rsidR="00E32CB8" w:rsidRPr="00A3557D" w:rsidRDefault="00E32CB8" w:rsidP="00202C6A">
            <w:pPr>
              <w:spacing w:after="0" w:line="240" w:lineRule="auto"/>
              <w:rPr>
                <w:sz w:val="20"/>
                <w:szCs w:val="20"/>
              </w:rPr>
            </w:pPr>
            <w:r w:rsidRPr="00A3557D">
              <w:rPr>
                <w:sz w:val="20"/>
                <w:szCs w:val="20"/>
              </w:rPr>
              <w:t>AUT</w:t>
            </w:r>
          </w:p>
        </w:tc>
        <w:tc>
          <w:tcPr>
            <w:tcW w:w="13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401B4015" w14:textId="77777777" w:rsidR="00E32CB8" w:rsidRPr="00A3557D" w:rsidRDefault="00E32CB8" w:rsidP="00202C6A">
            <w:pPr>
              <w:spacing w:after="0" w:line="240" w:lineRule="auto"/>
              <w:jc w:val="center"/>
              <w:rPr>
                <w:sz w:val="20"/>
                <w:szCs w:val="20"/>
              </w:rPr>
            </w:pPr>
            <w:r>
              <w:rPr>
                <w:sz w:val="20"/>
                <w:szCs w:val="20"/>
              </w:rPr>
              <w:t>79.4</w:t>
            </w:r>
            <w:r w:rsidRPr="00A3557D">
              <w:rPr>
                <w:sz w:val="20"/>
                <w:szCs w:val="20"/>
              </w:rPr>
              <w:t>%</w:t>
            </w:r>
          </w:p>
        </w:tc>
        <w:tc>
          <w:tcPr>
            <w:tcW w:w="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70764E27" w14:textId="77777777" w:rsidR="00E32CB8" w:rsidRPr="00A3557D" w:rsidRDefault="00E32CB8" w:rsidP="00202C6A">
            <w:pPr>
              <w:spacing w:after="0" w:line="240" w:lineRule="auto"/>
              <w:jc w:val="center"/>
              <w:rPr>
                <w:sz w:val="20"/>
                <w:szCs w:val="20"/>
              </w:rPr>
            </w:pPr>
            <w:r>
              <w:rPr>
                <w:sz w:val="20"/>
                <w:szCs w:val="20"/>
              </w:rPr>
              <w:t>72.1</w:t>
            </w:r>
            <w:r w:rsidRPr="00A3557D">
              <w:rPr>
                <w:sz w:val="20"/>
                <w:szCs w:val="20"/>
              </w:rPr>
              <w:t>%</w:t>
            </w:r>
          </w:p>
        </w:tc>
        <w:tc>
          <w:tcPr>
            <w:tcW w:w="14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14:paraId="05A116EC" w14:textId="77777777" w:rsidR="00E32CB8" w:rsidRPr="00E32CB8" w:rsidRDefault="00E32CB8" w:rsidP="00202C6A">
            <w:pPr>
              <w:spacing w:after="0"/>
              <w:jc w:val="center"/>
              <w:rPr>
                <w:sz w:val="20"/>
                <w:szCs w:val="20"/>
              </w:rPr>
            </w:pPr>
            <w:r w:rsidRPr="00E32CB8">
              <w:rPr>
                <w:sz w:val="20"/>
                <w:szCs w:val="20"/>
              </w:rPr>
              <w:t>7.30%</w:t>
            </w:r>
          </w:p>
        </w:tc>
      </w:tr>
      <w:tr w:rsidR="00E32CB8" w:rsidRPr="00C2234C" w14:paraId="0E0654FE" w14:textId="77777777" w:rsidTr="00202C6A">
        <w:trPr>
          <w:trHeight w:val="175"/>
        </w:trPr>
        <w:tc>
          <w:tcPr>
            <w:tcW w:w="16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06D606D" w14:textId="77777777" w:rsidR="00E32CB8" w:rsidRPr="00A3557D" w:rsidRDefault="00E32CB8" w:rsidP="00202C6A">
            <w:pPr>
              <w:spacing w:after="0" w:line="240" w:lineRule="auto"/>
              <w:rPr>
                <w:sz w:val="20"/>
                <w:szCs w:val="20"/>
              </w:rPr>
            </w:pPr>
            <w:r w:rsidRPr="00A3557D">
              <w:rPr>
                <w:sz w:val="20"/>
                <w:szCs w:val="20"/>
              </w:rPr>
              <w:t>University of Auckland</w:t>
            </w:r>
          </w:p>
        </w:tc>
        <w:tc>
          <w:tcPr>
            <w:tcW w:w="1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5F191FC5" w14:textId="77777777" w:rsidR="00E32CB8" w:rsidRPr="00A3557D" w:rsidRDefault="00E32CB8" w:rsidP="00202C6A">
            <w:pPr>
              <w:spacing w:after="0" w:line="240" w:lineRule="auto"/>
              <w:jc w:val="center"/>
              <w:rPr>
                <w:sz w:val="20"/>
                <w:szCs w:val="20"/>
              </w:rPr>
            </w:pPr>
            <w:r>
              <w:rPr>
                <w:sz w:val="20"/>
                <w:szCs w:val="20"/>
              </w:rPr>
              <w:t>83.8</w:t>
            </w:r>
            <w:r w:rsidRPr="00A3557D">
              <w:rPr>
                <w:sz w:val="20"/>
                <w:szCs w:val="20"/>
              </w:rPr>
              <w:t>%</w:t>
            </w:r>
          </w:p>
        </w:tc>
        <w:tc>
          <w:tcPr>
            <w:tcW w:w="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61E4B12A" w14:textId="77777777" w:rsidR="00E32CB8" w:rsidRPr="00A3557D" w:rsidRDefault="00E32CB8" w:rsidP="00202C6A">
            <w:pPr>
              <w:spacing w:after="0" w:line="240" w:lineRule="auto"/>
              <w:jc w:val="center"/>
              <w:rPr>
                <w:sz w:val="20"/>
                <w:szCs w:val="20"/>
              </w:rPr>
            </w:pPr>
            <w:r>
              <w:rPr>
                <w:sz w:val="20"/>
                <w:szCs w:val="20"/>
              </w:rPr>
              <w:t>74.5</w:t>
            </w:r>
            <w:r w:rsidRPr="00A3557D">
              <w:rPr>
                <w:sz w:val="20"/>
                <w:szCs w:val="20"/>
              </w:rPr>
              <w:t>%</w:t>
            </w:r>
          </w:p>
        </w:tc>
        <w:tc>
          <w:tcPr>
            <w:tcW w:w="148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14:paraId="1D6D87FA" w14:textId="77777777" w:rsidR="00E32CB8" w:rsidRPr="00E32CB8" w:rsidRDefault="00E32CB8" w:rsidP="00202C6A">
            <w:pPr>
              <w:spacing w:after="0"/>
              <w:jc w:val="center"/>
              <w:rPr>
                <w:sz w:val="20"/>
                <w:szCs w:val="20"/>
              </w:rPr>
            </w:pPr>
            <w:r w:rsidRPr="00E32CB8">
              <w:rPr>
                <w:sz w:val="20"/>
                <w:szCs w:val="20"/>
              </w:rPr>
              <w:t>9.30%</w:t>
            </w:r>
          </w:p>
        </w:tc>
      </w:tr>
      <w:tr w:rsidR="00A02E9D" w:rsidRPr="00C2234C" w14:paraId="0EDFA9CB" w14:textId="77777777" w:rsidTr="00202C6A">
        <w:trPr>
          <w:trHeight w:val="216"/>
        </w:trPr>
        <w:tc>
          <w:tcPr>
            <w:tcW w:w="16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3F75F94" w14:textId="77777777" w:rsidR="00A02E9D" w:rsidRPr="00A3557D" w:rsidRDefault="00A02E9D" w:rsidP="00202C6A">
            <w:pPr>
              <w:spacing w:after="0" w:line="240" w:lineRule="auto"/>
              <w:rPr>
                <w:sz w:val="20"/>
                <w:szCs w:val="20"/>
              </w:rPr>
            </w:pPr>
            <w:r w:rsidRPr="00A3557D">
              <w:rPr>
                <w:sz w:val="20"/>
                <w:szCs w:val="20"/>
              </w:rPr>
              <w:t>ITP Sector</w:t>
            </w:r>
          </w:p>
        </w:tc>
        <w:tc>
          <w:tcPr>
            <w:tcW w:w="13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641A794B" w14:textId="77777777" w:rsidR="00A02E9D" w:rsidRPr="00A3557D" w:rsidRDefault="001D6E01" w:rsidP="00202C6A">
            <w:pPr>
              <w:spacing w:after="0" w:line="240" w:lineRule="auto"/>
              <w:jc w:val="center"/>
              <w:rPr>
                <w:sz w:val="20"/>
                <w:szCs w:val="20"/>
              </w:rPr>
            </w:pPr>
            <w:r>
              <w:rPr>
                <w:sz w:val="20"/>
                <w:szCs w:val="20"/>
              </w:rPr>
              <w:t>66</w:t>
            </w:r>
            <w:r w:rsidR="00A02E9D" w:rsidRPr="00A3557D">
              <w:rPr>
                <w:sz w:val="20"/>
                <w:szCs w:val="20"/>
              </w:rPr>
              <w:t>%</w:t>
            </w:r>
          </w:p>
        </w:tc>
        <w:tc>
          <w:tcPr>
            <w:tcW w:w="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66AC2BDA" w14:textId="77777777" w:rsidR="00A02E9D" w:rsidRPr="00A3557D" w:rsidRDefault="001D6E01" w:rsidP="00202C6A">
            <w:pPr>
              <w:spacing w:after="0" w:line="240" w:lineRule="auto"/>
              <w:jc w:val="center"/>
              <w:rPr>
                <w:sz w:val="20"/>
                <w:szCs w:val="20"/>
              </w:rPr>
            </w:pPr>
            <w:r>
              <w:rPr>
                <w:sz w:val="20"/>
                <w:szCs w:val="20"/>
              </w:rPr>
              <w:t>55.8</w:t>
            </w:r>
            <w:r w:rsidR="00A02E9D" w:rsidRPr="00A3557D">
              <w:rPr>
                <w:sz w:val="20"/>
                <w:szCs w:val="20"/>
              </w:rPr>
              <w:t>%</w:t>
            </w:r>
          </w:p>
        </w:tc>
        <w:tc>
          <w:tcPr>
            <w:tcW w:w="148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61B42D4" w14:textId="77777777" w:rsidR="00A02E9D" w:rsidRPr="00A3557D" w:rsidRDefault="001D6E01" w:rsidP="00202C6A">
            <w:pPr>
              <w:spacing w:after="0" w:line="240" w:lineRule="auto"/>
              <w:jc w:val="center"/>
              <w:rPr>
                <w:sz w:val="20"/>
                <w:szCs w:val="20"/>
              </w:rPr>
            </w:pPr>
            <w:r>
              <w:rPr>
                <w:sz w:val="20"/>
                <w:szCs w:val="20"/>
              </w:rPr>
              <w:t>10.2%</w:t>
            </w:r>
          </w:p>
        </w:tc>
      </w:tr>
    </w:tbl>
    <w:p w14:paraId="35817E14" w14:textId="77777777" w:rsidR="00C2234C" w:rsidRPr="00C2234C" w:rsidRDefault="00C2234C" w:rsidP="00C2234C">
      <w:r w:rsidRPr="00C2234C">
        <w:rPr>
          <w:noProof/>
          <w:lang w:eastAsia="en-NZ"/>
        </w:rPr>
        <w:drawing>
          <wp:inline distT="0" distB="0" distL="0" distR="0" wp14:anchorId="0EDFBB27" wp14:editId="381B7ACB">
            <wp:extent cx="2654935" cy="2062886"/>
            <wp:effectExtent l="0" t="0" r="12065" b="139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t xml:space="preserve">    </w:t>
      </w:r>
    </w:p>
    <w:p w14:paraId="43CE9AFC" w14:textId="77777777" w:rsidR="008B4767" w:rsidRDefault="00C4508C" w:rsidP="00202C6A">
      <w:pPr>
        <w:pStyle w:val="Heading2"/>
        <w:spacing w:before="240"/>
      </w:pPr>
      <w:r>
        <w:t>3</w:t>
      </w:r>
      <w:r w:rsidR="008B4767">
        <w:t>.3.4 International</w:t>
      </w:r>
    </w:p>
    <w:tbl>
      <w:tblPr>
        <w:tblpPr w:leftFromText="180" w:rightFromText="180" w:vertAnchor="text" w:horzAnchor="page" w:tblpX="5761" w:tblpY="1153"/>
        <w:tblW w:w="4257" w:type="dxa"/>
        <w:tblCellMar>
          <w:left w:w="0" w:type="dxa"/>
          <w:right w:w="0" w:type="dxa"/>
        </w:tblCellMar>
        <w:tblLook w:val="0420" w:firstRow="1" w:lastRow="0" w:firstColumn="0" w:lastColumn="0" w:noHBand="0" w:noVBand="1"/>
      </w:tblPr>
      <w:tblGrid>
        <w:gridCol w:w="1386"/>
        <w:gridCol w:w="1207"/>
        <w:gridCol w:w="872"/>
        <w:gridCol w:w="792"/>
      </w:tblGrid>
      <w:tr w:rsidR="006B742A" w:rsidRPr="00A3557D" w14:paraId="51DEB525" w14:textId="77777777" w:rsidTr="006B742A">
        <w:trPr>
          <w:trHeight w:val="257"/>
        </w:trPr>
        <w:tc>
          <w:tcPr>
            <w:tcW w:w="1386" w:type="dxa"/>
            <w:tcBorders>
              <w:top w:val="single" w:sz="24" w:space="0" w:color="FFFFFF"/>
              <w:left w:val="single" w:sz="8" w:space="0" w:color="FFFFFF"/>
              <w:bottom w:val="single" w:sz="8" w:space="0" w:color="FFFFFF"/>
              <w:right w:val="single" w:sz="8" w:space="0" w:color="FFFFFF"/>
            </w:tcBorders>
            <w:shd w:val="clear" w:color="auto" w:fill="4472C4" w:themeFill="accent5"/>
            <w:tcMar>
              <w:top w:w="72" w:type="dxa"/>
              <w:left w:w="144" w:type="dxa"/>
              <w:bottom w:w="72" w:type="dxa"/>
              <w:right w:w="144" w:type="dxa"/>
            </w:tcMar>
          </w:tcPr>
          <w:p w14:paraId="681C8797" w14:textId="77777777" w:rsidR="006B742A" w:rsidRPr="006B742A" w:rsidRDefault="006B742A" w:rsidP="006B742A">
            <w:pPr>
              <w:spacing w:after="0" w:line="240" w:lineRule="auto"/>
              <w:rPr>
                <w:color w:val="FFFFFF" w:themeColor="background1"/>
                <w:sz w:val="20"/>
                <w:szCs w:val="20"/>
              </w:rPr>
            </w:pPr>
            <w:r w:rsidRPr="006B742A">
              <w:rPr>
                <w:color w:val="FFFFFF" w:themeColor="background1"/>
                <w:sz w:val="20"/>
                <w:szCs w:val="20"/>
              </w:rPr>
              <w:t>2017 Benchmarks</w:t>
            </w:r>
          </w:p>
        </w:tc>
        <w:tc>
          <w:tcPr>
            <w:tcW w:w="1207" w:type="dxa"/>
            <w:tcBorders>
              <w:top w:val="single" w:sz="24" w:space="0" w:color="FFFFFF"/>
              <w:left w:val="single" w:sz="8" w:space="0" w:color="FFFFFF"/>
              <w:bottom w:val="single" w:sz="8" w:space="0" w:color="FFFFFF"/>
              <w:right w:val="single" w:sz="8" w:space="0" w:color="FFFFFF"/>
            </w:tcBorders>
            <w:shd w:val="clear" w:color="auto" w:fill="4472C4" w:themeFill="accent5"/>
            <w:tcMar>
              <w:top w:w="15" w:type="dxa"/>
              <w:left w:w="15" w:type="dxa"/>
              <w:bottom w:w="0" w:type="dxa"/>
              <w:right w:w="15" w:type="dxa"/>
            </w:tcMar>
            <w:vAlign w:val="center"/>
          </w:tcPr>
          <w:p w14:paraId="298AA817" w14:textId="77777777" w:rsidR="006B742A" w:rsidRPr="006B742A" w:rsidRDefault="006B742A" w:rsidP="006B742A">
            <w:pPr>
              <w:spacing w:after="0" w:line="240" w:lineRule="auto"/>
              <w:rPr>
                <w:color w:val="FFFFFF" w:themeColor="background1"/>
                <w:sz w:val="20"/>
                <w:szCs w:val="20"/>
              </w:rPr>
            </w:pPr>
            <w:r w:rsidRPr="006B742A">
              <w:rPr>
                <w:color w:val="FFFFFF" w:themeColor="background1"/>
                <w:sz w:val="20"/>
                <w:szCs w:val="20"/>
              </w:rPr>
              <w:t>International</w:t>
            </w:r>
          </w:p>
        </w:tc>
        <w:tc>
          <w:tcPr>
            <w:tcW w:w="872" w:type="dxa"/>
            <w:tcBorders>
              <w:top w:val="single" w:sz="24" w:space="0" w:color="FFFFFF"/>
              <w:left w:val="single" w:sz="8" w:space="0" w:color="FFFFFF"/>
              <w:bottom w:val="single" w:sz="8" w:space="0" w:color="FFFFFF"/>
              <w:right w:val="single" w:sz="8" w:space="0" w:color="FFFFFF"/>
            </w:tcBorders>
            <w:shd w:val="clear" w:color="auto" w:fill="4472C4" w:themeFill="accent5"/>
            <w:tcMar>
              <w:top w:w="15" w:type="dxa"/>
              <w:left w:w="15" w:type="dxa"/>
              <w:bottom w:w="0" w:type="dxa"/>
              <w:right w:w="15" w:type="dxa"/>
            </w:tcMar>
            <w:vAlign w:val="center"/>
          </w:tcPr>
          <w:p w14:paraId="475F33FA" w14:textId="77777777" w:rsidR="006B742A" w:rsidRPr="006B742A" w:rsidRDefault="006B742A" w:rsidP="006B742A">
            <w:pPr>
              <w:spacing w:after="0" w:line="240" w:lineRule="auto"/>
              <w:rPr>
                <w:color w:val="FFFFFF" w:themeColor="background1"/>
                <w:sz w:val="20"/>
                <w:szCs w:val="20"/>
              </w:rPr>
            </w:pPr>
            <w:r w:rsidRPr="006B742A">
              <w:rPr>
                <w:color w:val="FFFFFF" w:themeColor="background1"/>
                <w:sz w:val="20"/>
                <w:szCs w:val="20"/>
              </w:rPr>
              <w:t>Domestic</w:t>
            </w:r>
          </w:p>
        </w:tc>
        <w:tc>
          <w:tcPr>
            <w:tcW w:w="792" w:type="dxa"/>
            <w:tcBorders>
              <w:top w:val="single" w:sz="24" w:space="0" w:color="FFFFFF"/>
              <w:left w:val="single" w:sz="8" w:space="0" w:color="FFFFFF"/>
              <w:bottom w:val="single" w:sz="8" w:space="0" w:color="FFFFFF"/>
              <w:right w:val="single" w:sz="8" w:space="0" w:color="FFFFFF"/>
            </w:tcBorders>
            <w:shd w:val="clear" w:color="auto" w:fill="4472C4" w:themeFill="accent5"/>
            <w:tcMar>
              <w:top w:w="15" w:type="dxa"/>
              <w:left w:w="15" w:type="dxa"/>
              <w:bottom w:w="0" w:type="dxa"/>
              <w:right w:w="15" w:type="dxa"/>
            </w:tcMar>
            <w:vAlign w:val="center"/>
          </w:tcPr>
          <w:p w14:paraId="2A59CB73" w14:textId="77777777" w:rsidR="006B742A" w:rsidRPr="006B742A" w:rsidRDefault="006B742A" w:rsidP="006B742A">
            <w:pPr>
              <w:spacing w:after="0" w:line="240" w:lineRule="auto"/>
              <w:rPr>
                <w:color w:val="FFFFFF" w:themeColor="background1"/>
                <w:sz w:val="20"/>
                <w:szCs w:val="20"/>
              </w:rPr>
            </w:pPr>
            <w:r w:rsidRPr="006B742A">
              <w:rPr>
                <w:color w:val="FFFFFF" w:themeColor="background1"/>
                <w:sz w:val="20"/>
                <w:szCs w:val="20"/>
              </w:rPr>
              <w:t>variance</w:t>
            </w:r>
          </w:p>
        </w:tc>
      </w:tr>
      <w:tr w:rsidR="006B742A" w:rsidRPr="00A3557D" w14:paraId="26690E93" w14:textId="77777777" w:rsidTr="006B742A">
        <w:trPr>
          <w:trHeight w:val="257"/>
        </w:trPr>
        <w:tc>
          <w:tcPr>
            <w:tcW w:w="138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7D83963" w14:textId="77777777" w:rsidR="006B742A" w:rsidRPr="00A3557D" w:rsidRDefault="006B742A" w:rsidP="006B742A">
            <w:pPr>
              <w:spacing w:after="0" w:line="240" w:lineRule="auto"/>
              <w:rPr>
                <w:sz w:val="20"/>
                <w:szCs w:val="20"/>
              </w:rPr>
            </w:pPr>
            <w:r w:rsidRPr="00A3557D">
              <w:rPr>
                <w:sz w:val="20"/>
                <w:szCs w:val="20"/>
              </w:rPr>
              <w:t>Unitec</w:t>
            </w:r>
          </w:p>
        </w:tc>
        <w:tc>
          <w:tcPr>
            <w:tcW w:w="120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6D1E68D9" w14:textId="77777777" w:rsidR="006B742A" w:rsidRPr="00A3557D" w:rsidRDefault="006B742A" w:rsidP="006B742A">
            <w:pPr>
              <w:spacing w:after="0" w:line="240" w:lineRule="auto"/>
              <w:rPr>
                <w:sz w:val="20"/>
                <w:szCs w:val="20"/>
              </w:rPr>
            </w:pPr>
            <w:r w:rsidRPr="00A3557D">
              <w:rPr>
                <w:sz w:val="20"/>
                <w:szCs w:val="20"/>
              </w:rPr>
              <w:t>86.4%</w:t>
            </w:r>
          </w:p>
        </w:tc>
        <w:tc>
          <w:tcPr>
            <w:tcW w:w="87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2A93D86" w14:textId="77777777" w:rsidR="006B742A" w:rsidRPr="00A3557D" w:rsidRDefault="006B742A" w:rsidP="006B742A">
            <w:pPr>
              <w:spacing w:after="0" w:line="240" w:lineRule="auto"/>
              <w:rPr>
                <w:sz w:val="20"/>
                <w:szCs w:val="20"/>
              </w:rPr>
            </w:pPr>
            <w:r w:rsidRPr="00A3557D">
              <w:rPr>
                <w:sz w:val="20"/>
                <w:szCs w:val="20"/>
              </w:rPr>
              <w:t>65.9%</w:t>
            </w:r>
          </w:p>
        </w:tc>
        <w:tc>
          <w:tcPr>
            <w:tcW w:w="79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1AA1EB6" w14:textId="77777777" w:rsidR="006B742A" w:rsidRPr="00A3557D" w:rsidRDefault="006B742A" w:rsidP="006B742A">
            <w:pPr>
              <w:spacing w:after="0" w:line="240" w:lineRule="auto"/>
              <w:rPr>
                <w:sz w:val="20"/>
                <w:szCs w:val="20"/>
              </w:rPr>
            </w:pPr>
            <w:r w:rsidRPr="00A3557D">
              <w:rPr>
                <w:sz w:val="20"/>
                <w:szCs w:val="20"/>
              </w:rPr>
              <w:t>20.5%</w:t>
            </w:r>
          </w:p>
        </w:tc>
      </w:tr>
      <w:tr w:rsidR="006B742A" w:rsidRPr="00A3557D" w14:paraId="61AE21CC" w14:textId="77777777" w:rsidTr="006B742A">
        <w:trPr>
          <w:trHeight w:val="257"/>
        </w:trPr>
        <w:tc>
          <w:tcPr>
            <w:tcW w:w="138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760EAF4" w14:textId="77777777" w:rsidR="006B742A" w:rsidRPr="00A3557D" w:rsidRDefault="006B742A" w:rsidP="006B742A">
            <w:pPr>
              <w:spacing w:after="0" w:line="240" w:lineRule="auto"/>
              <w:rPr>
                <w:sz w:val="20"/>
                <w:szCs w:val="20"/>
              </w:rPr>
            </w:pPr>
            <w:r w:rsidRPr="00A3557D">
              <w:rPr>
                <w:sz w:val="20"/>
                <w:szCs w:val="20"/>
              </w:rPr>
              <w:t>MIT</w:t>
            </w:r>
          </w:p>
        </w:tc>
        <w:tc>
          <w:tcPr>
            <w:tcW w:w="1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C226C68" w14:textId="77777777" w:rsidR="006B742A" w:rsidRPr="00A3557D" w:rsidRDefault="006B742A" w:rsidP="006B742A">
            <w:pPr>
              <w:spacing w:after="0" w:line="240" w:lineRule="auto"/>
              <w:rPr>
                <w:sz w:val="20"/>
                <w:szCs w:val="20"/>
              </w:rPr>
            </w:pPr>
            <w:r w:rsidRPr="00A3557D">
              <w:rPr>
                <w:sz w:val="20"/>
                <w:szCs w:val="20"/>
              </w:rPr>
              <w:t>74.7%</w:t>
            </w:r>
          </w:p>
        </w:tc>
        <w:tc>
          <w:tcPr>
            <w:tcW w:w="8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FA59C7C" w14:textId="77777777" w:rsidR="006B742A" w:rsidRPr="00A3557D" w:rsidRDefault="006B742A" w:rsidP="006B742A">
            <w:pPr>
              <w:spacing w:after="0" w:line="240" w:lineRule="auto"/>
              <w:rPr>
                <w:sz w:val="20"/>
                <w:szCs w:val="20"/>
              </w:rPr>
            </w:pPr>
            <w:r w:rsidRPr="00A3557D">
              <w:rPr>
                <w:sz w:val="20"/>
                <w:szCs w:val="20"/>
              </w:rPr>
              <w:t>64.1%</w:t>
            </w:r>
          </w:p>
        </w:tc>
        <w:tc>
          <w:tcPr>
            <w:tcW w:w="79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6F711E8E" w14:textId="77777777" w:rsidR="006B742A" w:rsidRPr="00A3557D" w:rsidRDefault="006B742A" w:rsidP="006B742A">
            <w:pPr>
              <w:spacing w:after="0" w:line="240" w:lineRule="auto"/>
              <w:rPr>
                <w:sz w:val="20"/>
                <w:szCs w:val="20"/>
              </w:rPr>
            </w:pPr>
            <w:r w:rsidRPr="00A3557D">
              <w:rPr>
                <w:sz w:val="20"/>
                <w:szCs w:val="20"/>
              </w:rPr>
              <w:t>10.6%</w:t>
            </w:r>
          </w:p>
        </w:tc>
      </w:tr>
      <w:tr w:rsidR="006B742A" w:rsidRPr="00A3557D" w14:paraId="41CC8B22" w14:textId="77777777" w:rsidTr="006B742A">
        <w:trPr>
          <w:trHeight w:val="257"/>
        </w:trPr>
        <w:tc>
          <w:tcPr>
            <w:tcW w:w="13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05384D2" w14:textId="77777777" w:rsidR="006B742A" w:rsidRPr="00A3557D" w:rsidRDefault="006B742A" w:rsidP="006B742A">
            <w:pPr>
              <w:spacing w:after="0" w:line="240" w:lineRule="auto"/>
              <w:rPr>
                <w:sz w:val="20"/>
                <w:szCs w:val="20"/>
              </w:rPr>
            </w:pPr>
            <w:r w:rsidRPr="00A3557D">
              <w:rPr>
                <w:sz w:val="20"/>
                <w:szCs w:val="20"/>
              </w:rPr>
              <w:t>AUT</w:t>
            </w:r>
          </w:p>
        </w:tc>
        <w:tc>
          <w:tcPr>
            <w:tcW w:w="120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F1B53D7" w14:textId="77777777" w:rsidR="006B742A" w:rsidRPr="00A3557D" w:rsidRDefault="006B742A" w:rsidP="006B742A">
            <w:pPr>
              <w:spacing w:after="0" w:line="240" w:lineRule="auto"/>
              <w:rPr>
                <w:sz w:val="20"/>
                <w:szCs w:val="20"/>
              </w:rPr>
            </w:pPr>
            <w:r w:rsidRPr="00A3557D">
              <w:rPr>
                <w:sz w:val="20"/>
                <w:szCs w:val="20"/>
              </w:rPr>
              <w:t>91.1%</w:t>
            </w:r>
          </w:p>
        </w:tc>
        <w:tc>
          <w:tcPr>
            <w:tcW w:w="8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666C3A24" w14:textId="77777777" w:rsidR="006B742A" w:rsidRPr="00A3557D" w:rsidRDefault="006B742A" w:rsidP="006B742A">
            <w:pPr>
              <w:spacing w:after="0" w:line="240" w:lineRule="auto"/>
              <w:rPr>
                <w:sz w:val="20"/>
                <w:szCs w:val="20"/>
              </w:rPr>
            </w:pPr>
            <w:r w:rsidRPr="00A3557D">
              <w:rPr>
                <w:sz w:val="20"/>
                <w:szCs w:val="20"/>
              </w:rPr>
              <w:t>76.1%</w:t>
            </w:r>
          </w:p>
        </w:tc>
        <w:tc>
          <w:tcPr>
            <w:tcW w:w="7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60FF6B84" w14:textId="77777777" w:rsidR="006B742A" w:rsidRPr="00A3557D" w:rsidRDefault="006B742A" w:rsidP="006B742A">
            <w:pPr>
              <w:spacing w:after="0" w:line="240" w:lineRule="auto"/>
              <w:rPr>
                <w:sz w:val="20"/>
                <w:szCs w:val="20"/>
              </w:rPr>
            </w:pPr>
            <w:r w:rsidRPr="00A3557D">
              <w:rPr>
                <w:sz w:val="20"/>
                <w:szCs w:val="20"/>
              </w:rPr>
              <w:t>15.0%</w:t>
            </w:r>
          </w:p>
        </w:tc>
      </w:tr>
      <w:tr w:rsidR="006B742A" w:rsidRPr="00A3557D" w14:paraId="126415C6" w14:textId="77777777" w:rsidTr="006B742A">
        <w:trPr>
          <w:trHeight w:val="257"/>
        </w:trPr>
        <w:tc>
          <w:tcPr>
            <w:tcW w:w="138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F026B92" w14:textId="77777777" w:rsidR="006B742A" w:rsidRPr="00A3557D" w:rsidRDefault="006B742A" w:rsidP="006B742A">
            <w:pPr>
              <w:spacing w:after="0" w:line="240" w:lineRule="auto"/>
              <w:rPr>
                <w:sz w:val="20"/>
                <w:szCs w:val="20"/>
              </w:rPr>
            </w:pPr>
            <w:r w:rsidRPr="00A3557D">
              <w:rPr>
                <w:sz w:val="20"/>
                <w:szCs w:val="20"/>
              </w:rPr>
              <w:t>University of Auckland</w:t>
            </w:r>
          </w:p>
        </w:tc>
        <w:tc>
          <w:tcPr>
            <w:tcW w:w="1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AE5A02B" w14:textId="77777777" w:rsidR="006B742A" w:rsidRPr="00A3557D" w:rsidRDefault="006B742A" w:rsidP="006B742A">
            <w:pPr>
              <w:spacing w:after="0" w:line="240" w:lineRule="auto"/>
              <w:rPr>
                <w:sz w:val="20"/>
                <w:szCs w:val="20"/>
              </w:rPr>
            </w:pPr>
            <w:r w:rsidRPr="00A3557D">
              <w:rPr>
                <w:sz w:val="20"/>
                <w:szCs w:val="20"/>
              </w:rPr>
              <w:t>90.3%</w:t>
            </w:r>
          </w:p>
        </w:tc>
        <w:tc>
          <w:tcPr>
            <w:tcW w:w="8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63E938C" w14:textId="77777777" w:rsidR="006B742A" w:rsidRPr="00A3557D" w:rsidRDefault="006B742A" w:rsidP="006B742A">
            <w:pPr>
              <w:spacing w:after="0" w:line="240" w:lineRule="auto"/>
              <w:rPr>
                <w:sz w:val="20"/>
                <w:szCs w:val="20"/>
              </w:rPr>
            </w:pPr>
            <w:r w:rsidRPr="00A3557D">
              <w:rPr>
                <w:sz w:val="20"/>
                <w:szCs w:val="20"/>
              </w:rPr>
              <w:t>81.2%</w:t>
            </w:r>
          </w:p>
        </w:tc>
        <w:tc>
          <w:tcPr>
            <w:tcW w:w="79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9AF3A80" w14:textId="77777777" w:rsidR="006B742A" w:rsidRPr="00A3557D" w:rsidRDefault="006B742A" w:rsidP="006B742A">
            <w:pPr>
              <w:spacing w:after="0" w:line="240" w:lineRule="auto"/>
              <w:rPr>
                <w:sz w:val="20"/>
                <w:szCs w:val="20"/>
              </w:rPr>
            </w:pPr>
            <w:r w:rsidRPr="00A3557D">
              <w:rPr>
                <w:sz w:val="20"/>
                <w:szCs w:val="20"/>
              </w:rPr>
              <w:t>9.1%</w:t>
            </w:r>
          </w:p>
        </w:tc>
      </w:tr>
      <w:tr w:rsidR="006B742A" w:rsidRPr="00A3557D" w14:paraId="25244A42" w14:textId="77777777" w:rsidTr="006B742A">
        <w:trPr>
          <w:trHeight w:val="317"/>
        </w:trPr>
        <w:tc>
          <w:tcPr>
            <w:tcW w:w="13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4A3F52B" w14:textId="77777777" w:rsidR="006B742A" w:rsidRPr="00A3557D" w:rsidRDefault="006B742A" w:rsidP="006B742A">
            <w:pPr>
              <w:spacing w:after="0" w:line="240" w:lineRule="auto"/>
              <w:rPr>
                <w:sz w:val="20"/>
                <w:szCs w:val="20"/>
              </w:rPr>
            </w:pPr>
            <w:r w:rsidRPr="00A3557D">
              <w:rPr>
                <w:sz w:val="20"/>
                <w:szCs w:val="20"/>
              </w:rPr>
              <w:t>ITP Sector</w:t>
            </w:r>
          </w:p>
        </w:tc>
        <w:tc>
          <w:tcPr>
            <w:tcW w:w="120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41013ADA" w14:textId="77777777" w:rsidR="006B742A" w:rsidRPr="00A3557D" w:rsidRDefault="006B742A" w:rsidP="006B742A">
            <w:pPr>
              <w:spacing w:after="0" w:line="240" w:lineRule="auto"/>
              <w:rPr>
                <w:sz w:val="20"/>
                <w:szCs w:val="20"/>
              </w:rPr>
            </w:pPr>
            <w:r w:rsidRPr="00A3557D">
              <w:rPr>
                <w:sz w:val="20"/>
                <w:szCs w:val="20"/>
              </w:rPr>
              <w:t>73.5%</w:t>
            </w:r>
          </w:p>
        </w:tc>
        <w:tc>
          <w:tcPr>
            <w:tcW w:w="8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673B9AEE" w14:textId="77777777" w:rsidR="006B742A" w:rsidRPr="00A3557D" w:rsidRDefault="006B742A" w:rsidP="006B742A">
            <w:pPr>
              <w:spacing w:after="0" w:line="240" w:lineRule="auto"/>
              <w:rPr>
                <w:sz w:val="20"/>
                <w:szCs w:val="20"/>
              </w:rPr>
            </w:pPr>
            <w:r w:rsidRPr="00A3557D">
              <w:rPr>
                <w:sz w:val="20"/>
                <w:szCs w:val="20"/>
              </w:rPr>
              <w:t>59.2%</w:t>
            </w:r>
          </w:p>
        </w:tc>
        <w:tc>
          <w:tcPr>
            <w:tcW w:w="7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vAlign w:val="center"/>
            <w:hideMark/>
          </w:tcPr>
          <w:p w14:paraId="74B37F37" w14:textId="77777777" w:rsidR="006B742A" w:rsidRPr="00A3557D" w:rsidRDefault="006B742A" w:rsidP="006B742A">
            <w:pPr>
              <w:spacing w:after="0" w:line="240" w:lineRule="auto"/>
              <w:rPr>
                <w:sz w:val="20"/>
                <w:szCs w:val="20"/>
              </w:rPr>
            </w:pPr>
            <w:r w:rsidRPr="00A3557D">
              <w:rPr>
                <w:sz w:val="20"/>
                <w:szCs w:val="20"/>
              </w:rPr>
              <w:t>14.3%</w:t>
            </w:r>
          </w:p>
        </w:tc>
      </w:tr>
    </w:tbl>
    <w:p w14:paraId="7C418164" w14:textId="56B5D453" w:rsidR="009A42F6" w:rsidRDefault="009A42F6" w:rsidP="009A42F6">
      <w:r>
        <w:t>The 2017 First Year Retention Rate for in</w:t>
      </w:r>
      <w:r w:rsidR="008F4E92">
        <w:t>ternational students in Unitec wa</w:t>
      </w:r>
      <w:r>
        <w:t xml:space="preserve">s 86.4%, higher than the ITP Sector average of 73.5%, but lower than AUT at 91.1% and the University of Auckland at 90.3%. </w:t>
      </w:r>
      <w:r w:rsidR="008F4E92">
        <w:t xml:space="preserve">Unitec </w:t>
      </w:r>
      <w:r w:rsidR="00BA3EE8">
        <w:t xml:space="preserve">had the greatest variance across all </w:t>
      </w:r>
      <w:r w:rsidR="008F4E92">
        <w:t xml:space="preserve">others </w:t>
      </w:r>
      <w:r w:rsidR="001573DE">
        <w:t xml:space="preserve">and the ITP sector </w:t>
      </w:r>
      <w:r w:rsidR="00FC706F">
        <w:t xml:space="preserve">at </w:t>
      </w:r>
      <w:r w:rsidR="001573DE">
        <w:t>20.5%</w:t>
      </w:r>
      <w:r w:rsidR="00FC706F">
        <w:t>. The Unitec variance decreased to a still very significant 18.4% in 2018.</w:t>
      </w:r>
    </w:p>
    <w:p w14:paraId="780DDB1A" w14:textId="77777777" w:rsidR="008B4767" w:rsidRDefault="009A42F6" w:rsidP="008B4767">
      <w:r w:rsidRPr="009A42F6">
        <w:rPr>
          <w:noProof/>
          <w:lang w:eastAsia="en-NZ"/>
        </w:rPr>
        <w:drawing>
          <wp:inline distT="0" distB="0" distL="0" distR="0" wp14:anchorId="11429D5C" wp14:editId="439B7D35">
            <wp:extent cx="2355494" cy="1996440"/>
            <wp:effectExtent l="0" t="0" r="6985" b="38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D06205">
        <w:t xml:space="preserve">         </w:t>
      </w:r>
      <w:r>
        <w:t xml:space="preserve">   </w:t>
      </w:r>
    </w:p>
    <w:p w14:paraId="469B655D" w14:textId="77777777" w:rsidR="009A42F6" w:rsidRDefault="009A42F6" w:rsidP="008B4767"/>
    <w:p w14:paraId="528C706F" w14:textId="72D903D2" w:rsidR="008B4767" w:rsidRDefault="009F4ADE" w:rsidP="008B4767">
      <w:pPr>
        <w:pStyle w:val="Heading2"/>
      </w:pPr>
      <w:r>
        <w:lastRenderedPageBreak/>
        <w:t>3</w:t>
      </w:r>
      <w:r w:rsidR="008B4767">
        <w:t xml:space="preserve">.4 Key findings </w:t>
      </w:r>
    </w:p>
    <w:p w14:paraId="70C22F62" w14:textId="77777777" w:rsidR="008B4767" w:rsidRPr="005952AD" w:rsidRDefault="008B4767" w:rsidP="008B4767"/>
    <w:p w14:paraId="64A0B35E" w14:textId="77777777" w:rsidR="00420ED8" w:rsidRDefault="008B4767" w:rsidP="008B4767">
      <w:pPr>
        <w:pStyle w:val="ListParagraph"/>
        <w:numPr>
          <w:ilvl w:val="0"/>
          <w:numId w:val="9"/>
        </w:numPr>
      </w:pPr>
      <w:r>
        <w:t>In general, schools with high EFTS perform</w:t>
      </w:r>
      <w:r w:rsidR="00321814">
        <w:t>ed</w:t>
      </w:r>
      <w:r>
        <w:t xml:space="preserve"> well with the exception of Applied Business and Trades &amp; Services. Environmental &amp; Animal Sciences performed well but with low EFTS. Some targeted actions may be useful for helping struggling schools in this area.</w:t>
      </w:r>
    </w:p>
    <w:p w14:paraId="040E053A" w14:textId="77777777" w:rsidR="001573DE" w:rsidRDefault="001573DE" w:rsidP="008B4767">
      <w:pPr>
        <w:pStyle w:val="ListParagraph"/>
        <w:numPr>
          <w:ilvl w:val="0"/>
          <w:numId w:val="9"/>
        </w:numPr>
      </w:pPr>
      <w:r>
        <w:t xml:space="preserve">Of the various priority groups, Pacific students had the most unsatisfactory performance in </w:t>
      </w:r>
      <w:r w:rsidR="00C1532D">
        <w:t xml:space="preserve">their overall </w:t>
      </w:r>
      <w:r>
        <w:t xml:space="preserve">variance </w:t>
      </w:r>
      <w:r w:rsidR="00C1532D">
        <w:t xml:space="preserve">from non-Pacific students </w:t>
      </w:r>
      <w:r>
        <w:t xml:space="preserve">for both First Year Retention and Successful Course Completion. Support can be targeted at this group. </w:t>
      </w:r>
    </w:p>
    <w:p w14:paraId="28EB4103" w14:textId="77777777" w:rsidR="00352A2B" w:rsidRDefault="00352A2B" w:rsidP="00352A2B"/>
    <w:p w14:paraId="6429D9BE" w14:textId="77777777" w:rsidR="00420ED8" w:rsidRDefault="00420ED8" w:rsidP="00420ED8">
      <w:pPr>
        <w:pStyle w:val="Heading1"/>
      </w:pPr>
      <w:r>
        <w:t>4.0 Graduates Employed, Studying or Combining (GESC)</w:t>
      </w:r>
    </w:p>
    <w:p w14:paraId="34933D11" w14:textId="77777777" w:rsidR="00420ED8" w:rsidRDefault="00420ED8" w:rsidP="00420ED8">
      <w:pPr>
        <w:pStyle w:val="Heading2"/>
      </w:pPr>
    </w:p>
    <w:p w14:paraId="0F9A965C" w14:textId="77777777" w:rsidR="00420ED8" w:rsidRPr="00167872" w:rsidRDefault="00420ED8" w:rsidP="00420ED8">
      <w:r>
        <w:t xml:space="preserve">Graduates employed, studying or combining (GESC) is a KPI that measures the performance of our students after they have graduated. The data comes from surveys with our graduates asking them if they are employed and or in further study.  2019 data is based off students who graduated in 2018 and surveyed 2-3 weeks after their September 2018 and April 2019 graduation ceremonies.  A total of 1,312 graduates responded across these two semesters out of 3,580 graduates in total which equates to an overall response rate of 37%.  Due to low response rates across some schools and programmes, the ability to provide robust reporting at school and programme level is limited.  </w:t>
      </w:r>
      <w:r w:rsidRPr="00B1623F">
        <w:t>Te Korowai Kahurangi</w:t>
      </w:r>
      <w:r>
        <w:t xml:space="preserve"> are reviewing the graduate outcomes data that can be obtained with the aim to increase survey response rates to provide more granular reporting. </w:t>
      </w:r>
    </w:p>
    <w:p w14:paraId="38871174" w14:textId="77777777" w:rsidR="00420ED8" w:rsidRPr="00167872" w:rsidRDefault="00420ED8" w:rsidP="00420ED8"/>
    <w:p w14:paraId="30B5544D" w14:textId="77777777" w:rsidR="00420ED8" w:rsidRDefault="00420ED8" w:rsidP="00420ED8">
      <w:pPr>
        <w:pStyle w:val="Heading2"/>
      </w:pPr>
      <w:r>
        <w:t>4.1 Total Unitec</w:t>
      </w:r>
    </w:p>
    <w:p w14:paraId="376FDA8D" w14:textId="77777777" w:rsidR="00420ED8" w:rsidRDefault="00420ED8" w:rsidP="00420ED8">
      <w:r>
        <w:t xml:space="preserve">Overall Unitec’s Graduates Employed, Studying and Combining (GESC) rate has declined to 82% from 85% shown last year.  This level is below the 2018 investment plan target of 85%.  The decline is driven by a decrease in the percentage of graduates who are in higher study or graduates who are combining work with study rather than the percentage in paid employment which has increased from 74% to 76% over the past 12 months. </w:t>
      </w:r>
    </w:p>
    <w:p w14:paraId="59201F20" w14:textId="77777777" w:rsidR="00420ED8" w:rsidRDefault="00420ED8" w:rsidP="00420ED8">
      <w:r w:rsidRPr="00450754">
        <w:rPr>
          <w:noProof/>
          <w:lang w:eastAsia="en-NZ"/>
        </w:rPr>
        <w:drawing>
          <wp:inline distT="0" distB="0" distL="0" distR="0" wp14:anchorId="3F1F293B" wp14:editId="297D8125">
            <wp:extent cx="5375377" cy="2231136"/>
            <wp:effectExtent l="0" t="0" r="15875" b="1714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056E88A" w14:textId="77777777" w:rsidR="00420ED8" w:rsidRDefault="00420ED8" w:rsidP="00420ED8">
      <w:r>
        <w:t xml:space="preserve">Longer term trends show that the % of graduates in paid employment is the highest level shown since 2010.  </w:t>
      </w:r>
      <w:r w:rsidRPr="00B21B33">
        <w:t>The increase shown since 2015 coincides with the decline in New Zealand unemployment rate over the same period</w:t>
      </w:r>
      <w:r>
        <w:t>.</w:t>
      </w:r>
    </w:p>
    <w:p w14:paraId="6123CEC5" w14:textId="77777777" w:rsidR="00420ED8" w:rsidRDefault="00420ED8" w:rsidP="00420ED8">
      <w:r w:rsidRPr="006114EE">
        <w:rPr>
          <w:noProof/>
          <w:lang w:eastAsia="en-NZ"/>
        </w:rPr>
        <w:lastRenderedPageBreak/>
        <w:drawing>
          <wp:inline distT="0" distB="0" distL="0" distR="0" wp14:anchorId="4ED03192" wp14:editId="240A92AB">
            <wp:extent cx="5347411" cy="1996440"/>
            <wp:effectExtent l="0" t="0" r="5715" b="381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5C05733" w14:textId="77777777" w:rsidR="00352A2B" w:rsidRDefault="00352A2B" w:rsidP="00420ED8">
      <w:pPr>
        <w:pStyle w:val="Heading2"/>
      </w:pPr>
    </w:p>
    <w:p w14:paraId="2EDE0E21" w14:textId="77777777" w:rsidR="00420ED8" w:rsidRDefault="00420ED8" w:rsidP="00420ED8">
      <w:pPr>
        <w:pStyle w:val="Heading2"/>
      </w:pPr>
      <w:r>
        <w:t>4.2 Schools</w:t>
      </w:r>
    </w:p>
    <w:p w14:paraId="17D0D039" w14:textId="77777777" w:rsidR="00420ED8" w:rsidRDefault="00420ED8" w:rsidP="00420ED8">
      <w:r>
        <w:t xml:space="preserve">The majority of schools show lower GESC rates in 2019 when compared to the 85% target with considerably lower rates shown by </w:t>
      </w:r>
      <w:r w:rsidRPr="00E956C3">
        <w:t>Computing &amp; Information Technology</w:t>
      </w:r>
      <w:r>
        <w:t xml:space="preserve"> (55%), </w:t>
      </w:r>
      <w:r w:rsidRPr="00E956C3">
        <w:t>Creative Industries</w:t>
      </w:r>
      <w:r>
        <w:t xml:space="preserve"> (66%) and </w:t>
      </w:r>
      <w:r w:rsidRPr="00E956C3">
        <w:t>Trades &amp; Services</w:t>
      </w:r>
      <w:r>
        <w:t xml:space="preserve"> (76%).  These schools show the greatest decline over the past 12 months and have been the major contributors towards Unitec’s overall decline from 85% to 82%.   </w:t>
      </w:r>
    </w:p>
    <w:p w14:paraId="40D0D214" w14:textId="77777777" w:rsidR="00420ED8" w:rsidRDefault="00420ED8" w:rsidP="00420ED8">
      <w:r>
        <w:t xml:space="preserve">Over the four-year period of 2016-2019, there have been large declines for </w:t>
      </w:r>
      <w:r w:rsidRPr="00E956C3">
        <w:t>Building Construction</w:t>
      </w:r>
      <w:r>
        <w:t xml:space="preserve"> (13%), </w:t>
      </w:r>
      <w:r w:rsidRPr="00E956C3">
        <w:t>Computing &amp; Information Technology</w:t>
      </w:r>
      <w:r>
        <w:t xml:space="preserve"> (13%), </w:t>
      </w:r>
      <w:r w:rsidRPr="00E956C3">
        <w:t>Engineering &amp; Applied Technology</w:t>
      </w:r>
      <w:r>
        <w:t xml:space="preserve"> (13%), </w:t>
      </w:r>
      <w:r w:rsidRPr="00E956C3">
        <w:t>Trades &amp; Services</w:t>
      </w:r>
      <w:r>
        <w:t xml:space="preserve"> (13%) and Creative Industries graduates (11%).</w:t>
      </w:r>
    </w:p>
    <w:tbl>
      <w:tblPr>
        <w:tblW w:w="9234" w:type="dxa"/>
        <w:tblBorders>
          <w:top w:val="single" w:sz="4" w:space="0" w:color="9BC2E6"/>
          <w:left w:val="single" w:sz="4" w:space="0" w:color="9BC2E6"/>
          <w:bottom w:val="single" w:sz="4" w:space="0" w:color="9BC2E6"/>
          <w:right w:val="single" w:sz="4" w:space="0" w:color="9BC2E6"/>
        </w:tblBorders>
        <w:tblLook w:val="04A0" w:firstRow="1" w:lastRow="0" w:firstColumn="1" w:lastColumn="0" w:noHBand="0" w:noVBand="1"/>
      </w:tblPr>
      <w:tblGrid>
        <w:gridCol w:w="3408"/>
        <w:gridCol w:w="1114"/>
        <w:gridCol w:w="862"/>
        <w:gridCol w:w="862"/>
        <w:gridCol w:w="862"/>
        <w:gridCol w:w="1109"/>
        <w:gridCol w:w="1017"/>
      </w:tblGrid>
      <w:tr w:rsidR="00420ED8" w:rsidRPr="007653CA" w14:paraId="0B934511" w14:textId="77777777" w:rsidTr="00D06205">
        <w:trPr>
          <w:trHeight w:val="269"/>
        </w:trPr>
        <w:tc>
          <w:tcPr>
            <w:tcW w:w="9234" w:type="dxa"/>
            <w:gridSpan w:val="7"/>
            <w:shd w:val="clear" w:color="auto" w:fill="2E74B5" w:themeFill="accent1" w:themeFillShade="BF"/>
            <w:vAlign w:val="bottom"/>
          </w:tcPr>
          <w:p w14:paraId="26182C06" w14:textId="77777777" w:rsidR="00420ED8" w:rsidRPr="00D06205" w:rsidRDefault="00420ED8" w:rsidP="00D06205">
            <w:pPr>
              <w:spacing w:after="0" w:line="240" w:lineRule="auto"/>
              <w:jc w:val="center"/>
              <w:rPr>
                <w:rFonts w:ascii="Calibri" w:eastAsia="Times New Roman" w:hAnsi="Calibri" w:cs="Calibri"/>
                <w:b/>
                <w:bCs/>
                <w:color w:val="FFFFFF"/>
                <w:sz w:val="28"/>
                <w:szCs w:val="28"/>
                <w:lang w:eastAsia="en-NZ"/>
              </w:rPr>
            </w:pPr>
            <w:r w:rsidRPr="00D06205">
              <w:rPr>
                <w:rFonts w:ascii="Calibri" w:eastAsia="Times New Roman" w:hAnsi="Calibri" w:cs="Calibri"/>
                <w:b/>
                <w:bCs/>
                <w:color w:val="FFFFFF"/>
                <w:sz w:val="28"/>
                <w:szCs w:val="28"/>
                <w:lang w:eastAsia="en-NZ"/>
              </w:rPr>
              <w:t>Percent of Graduates Employed, Studying and Combining (GESC)</w:t>
            </w:r>
          </w:p>
          <w:p w14:paraId="085DA518" w14:textId="77777777" w:rsidR="00420ED8" w:rsidRPr="00BF1CFB" w:rsidRDefault="00420ED8" w:rsidP="00D06205">
            <w:pPr>
              <w:spacing w:after="0" w:line="240" w:lineRule="auto"/>
              <w:jc w:val="center"/>
              <w:rPr>
                <w:rFonts w:ascii="Calibri" w:eastAsia="Times New Roman" w:hAnsi="Calibri" w:cs="Calibri"/>
                <w:b/>
                <w:bCs/>
                <w:color w:val="FFFFFF"/>
                <w:sz w:val="32"/>
                <w:szCs w:val="32"/>
                <w:lang w:eastAsia="en-NZ"/>
              </w:rPr>
            </w:pPr>
          </w:p>
        </w:tc>
      </w:tr>
      <w:tr w:rsidR="00420ED8" w:rsidRPr="007653CA" w14:paraId="4A638929" w14:textId="77777777" w:rsidTr="00EA2B54">
        <w:trPr>
          <w:trHeight w:val="900"/>
        </w:trPr>
        <w:tc>
          <w:tcPr>
            <w:tcW w:w="3408" w:type="dxa"/>
            <w:shd w:val="clear" w:color="auto" w:fill="2E74B5" w:themeFill="accent1" w:themeFillShade="BF"/>
            <w:vAlign w:val="bottom"/>
            <w:hideMark/>
          </w:tcPr>
          <w:p w14:paraId="2BCD4B42" w14:textId="77777777" w:rsidR="00420ED8" w:rsidRPr="007653CA" w:rsidRDefault="00420ED8" w:rsidP="00D06205">
            <w:pPr>
              <w:spacing w:after="0" w:line="240" w:lineRule="auto"/>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School Name</w:t>
            </w:r>
          </w:p>
        </w:tc>
        <w:tc>
          <w:tcPr>
            <w:tcW w:w="1114" w:type="dxa"/>
            <w:shd w:val="clear" w:color="auto" w:fill="2E74B5" w:themeFill="accent1" w:themeFillShade="BF"/>
            <w:vAlign w:val="bottom"/>
            <w:hideMark/>
          </w:tcPr>
          <w:p w14:paraId="7DCCF1A6" w14:textId="77777777" w:rsidR="00420ED8" w:rsidRPr="007653CA" w:rsidRDefault="00420ED8" w:rsidP="00D06205">
            <w:pPr>
              <w:spacing w:after="0" w:line="240" w:lineRule="auto"/>
              <w:jc w:val="center"/>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w:t>
            </w:r>
            <w:r>
              <w:rPr>
                <w:rFonts w:ascii="Calibri" w:eastAsia="Times New Roman" w:hAnsi="Calibri" w:cs="Calibri"/>
                <w:b/>
                <w:bCs/>
                <w:color w:val="FFFFFF"/>
                <w:lang w:eastAsia="en-NZ"/>
              </w:rPr>
              <w:t>6</w:t>
            </w:r>
          </w:p>
        </w:tc>
        <w:tc>
          <w:tcPr>
            <w:tcW w:w="862" w:type="dxa"/>
            <w:shd w:val="clear" w:color="auto" w:fill="2E74B5" w:themeFill="accent1" w:themeFillShade="BF"/>
            <w:vAlign w:val="bottom"/>
            <w:hideMark/>
          </w:tcPr>
          <w:p w14:paraId="3A5F62DE" w14:textId="77777777" w:rsidR="00420ED8" w:rsidRPr="007653CA" w:rsidRDefault="00420ED8" w:rsidP="00D06205">
            <w:pPr>
              <w:spacing w:after="0" w:line="240" w:lineRule="auto"/>
              <w:jc w:val="center"/>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w:t>
            </w:r>
            <w:r>
              <w:rPr>
                <w:rFonts w:ascii="Calibri" w:eastAsia="Times New Roman" w:hAnsi="Calibri" w:cs="Calibri"/>
                <w:b/>
                <w:bCs/>
                <w:color w:val="FFFFFF"/>
                <w:lang w:eastAsia="en-NZ"/>
              </w:rPr>
              <w:t>7</w:t>
            </w:r>
          </w:p>
        </w:tc>
        <w:tc>
          <w:tcPr>
            <w:tcW w:w="862" w:type="dxa"/>
            <w:shd w:val="clear" w:color="auto" w:fill="2E74B5" w:themeFill="accent1" w:themeFillShade="BF"/>
            <w:vAlign w:val="bottom"/>
            <w:hideMark/>
          </w:tcPr>
          <w:p w14:paraId="7860B856" w14:textId="77777777" w:rsidR="00420ED8" w:rsidRPr="007653CA" w:rsidRDefault="00420ED8" w:rsidP="00D06205">
            <w:pPr>
              <w:spacing w:after="0" w:line="240" w:lineRule="auto"/>
              <w:jc w:val="center"/>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w:t>
            </w:r>
            <w:r>
              <w:rPr>
                <w:rFonts w:ascii="Calibri" w:eastAsia="Times New Roman" w:hAnsi="Calibri" w:cs="Calibri"/>
                <w:b/>
                <w:bCs/>
                <w:color w:val="FFFFFF"/>
                <w:lang w:eastAsia="en-NZ"/>
              </w:rPr>
              <w:t>8</w:t>
            </w:r>
          </w:p>
        </w:tc>
        <w:tc>
          <w:tcPr>
            <w:tcW w:w="862" w:type="dxa"/>
            <w:shd w:val="clear" w:color="auto" w:fill="2E74B5" w:themeFill="accent1" w:themeFillShade="BF"/>
            <w:vAlign w:val="bottom"/>
            <w:hideMark/>
          </w:tcPr>
          <w:p w14:paraId="318CA558" w14:textId="77777777" w:rsidR="00420ED8" w:rsidRPr="007653CA" w:rsidRDefault="00420ED8" w:rsidP="00D06205">
            <w:pPr>
              <w:spacing w:after="0" w:line="240" w:lineRule="auto"/>
              <w:jc w:val="center"/>
              <w:rPr>
                <w:rFonts w:ascii="Calibri" w:eastAsia="Times New Roman" w:hAnsi="Calibri" w:cs="Calibri"/>
                <w:b/>
                <w:bCs/>
                <w:color w:val="FFFFFF"/>
                <w:lang w:eastAsia="en-NZ"/>
              </w:rPr>
            </w:pPr>
            <w:r>
              <w:rPr>
                <w:rFonts w:ascii="Calibri" w:eastAsia="Times New Roman" w:hAnsi="Calibri" w:cs="Calibri"/>
                <w:b/>
                <w:bCs/>
                <w:color w:val="FFFFFF"/>
                <w:lang w:eastAsia="en-NZ"/>
              </w:rPr>
              <w:t>2019</w:t>
            </w:r>
          </w:p>
        </w:tc>
        <w:tc>
          <w:tcPr>
            <w:tcW w:w="1109" w:type="dxa"/>
            <w:shd w:val="clear" w:color="auto" w:fill="2E74B5" w:themeFill="accent1" w:themeFillShade="BF"/>
            <w:vAlign w:val="bottom"/>
            <w:hideMark/>
          </w:tcPr>
          <w:p w14:paraId="7BAFDC3C" w14:textId="77777777" w:rsidR="00420ED8" w:rsidRPr="007653CA" w:rsidRDefault="00420ED8" w:rsidP="00D06205">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Variance between 2017 and 2018</w:t>
            </w:r>
          </w:p>
        </w:tc>
        <w:tc>
          <w:tcPr>
            <w:tcW w:w="1017" w:type="dxa"/>
            <w:shd w:val="clear" w:color="auto" w:fill="2E74B5" w:themeFill="accent1" w:themeFillShade="BF"/>
            <w:vAlign w:val="bottom"/>
            <w:hideMark/>
          </w:tcPr>
          <w:p w14:paraId="24A0DDA3" w14:textId="77777777" w:rsidR="00420ED8" w:rsidRPr="007653CA" w:rsidRDefault="00420ED8" w:rsidP="00D06205">
            <w:pPr>
              <w:spacing w:after="0" w:line="240" w:lineRule="auto"/>
              <w:jc w:val="right"/>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Variance over 4 years</w:t>
            </w:r>
          </w:p>
        </w:tc>
      </w:tr>
      <w:tr w:rsidR="00420ED8" w:rsidRPr="007653CA" w14:paraId="3DAF97D4" w14:textId="77777777" w:rsidTr="00EA2B54">
        <w:trPr>
          <w:trHeight w:val="300"/>
        </w:trPr>
        <w:tc>
          <w:tcPr>
            <w:tcW w:w="3408" w:type="dxa"/>
            <w:shd w:val="clear" w:color="DDEBF7" w:fill="DDEBF7"/>
            <w:noWrap/>
            <w:vAlign w:val="center"/>
            <w:hideMark/>
          </w:tcPr>
          <w:p w14:paraId="6791C6A7" w14:textId="77777777" w:rsidR="00420ED8" w:rsidRPr="00E956C3" w:rsidRDefault="00420ED8" w:rsidP="00D06205">
            <w:pPr>
              <w:spacing w:after="0"/>
            </w:pPr>
            <w:r w:rsidRPr="00E956C3">
              <w:t>Applied Business</w:t>
            </w:r>
          </w:p>
        </w:tc>
        <w:tc>
          <w:tcPr>
            <w:tcW w:w="1114" w:type="dxa"/>
            <w:shd w:val="clear" w:color="DDEBF7" w:fill="DDEBF7"/>
            <w:noWrap/>
            <w:vAlign w:val="center"/>
            <w:hideMark/>
          </w:tcPr>
          <w:p w14:paraId="5E7EEFEC" w14:textId="77777777" w:rsidR="00420ED8" w:rsidRPr="00E956C3" w:rsidRDefault="00420ED8" w:rsidP="00D06205">
            <w:pPr>
              <w:spacing w:after="0"/>
              <w:jc w:val="center"/>
            </w:pPr>
            <w:r w:rsidRPr="00E956C3">
              <w:t>82%</w:t>
            </w:r>
          </w:p>
        </w:tc>
        <w:tc>
          <w:tcPr>
            <w:tcW w:w="862" w:type="dxa"/>
            <w:shd w:val="clear" w:color="DDEBF7" w:fill="DDEBF7"/>
            <w:noWrap/>
            <w:vAlign w:val="center"/>
            <w:hideMark/>
          </w:tcPr>
          <w:p w14:paraId="46C72938" w14:textId="77777777" w:rsidR="00420ED8" w:rsidRPr="00E956C3" w:rsidRDefault="00420ED8" w:rsidP="00D06205">
            <w:pPr>
              <w:spacing w:after="0"/>
              <w:jc w:val="center"/>
            </w:pPr>
            <w:r w:rsidRPr="00E956C3">
              <w:t>83%</w:t>
            </w:r>
          </w:p>
        </w:tc>
        <w:tc>
          <w:tcPr>
            <w:tcW w:w="862" w:type="dxa"/>
            <w:shd w:val="clear" w:color="DDEBF7" w:fill="DDEBF7"/>
            <w:noWrap/>
            <w:vAlign w:val="center"/>
            <w:hideMark/>
          </w:tcPr>
          <w:p w14:paraId="6185262E" w14:textId="77777777" w:rsidR="00420ED8" w:rsidRPr="00E956C3" w:rsidRDefault="00420ED8" w:rsidP="00D06205">
            <w:pPr>
              <w:spacing w:after="0"/>
              <w:jc w:val="center"/>
            </w:pPr>
            <w:r w:rsidRPr="00E956C3">
              <w:t>85%</w:t>
            </w:r>
          </w:p>
        </w:tc>
        <w:tc>
          <w:tcPr>
            <w:tcW w:w="862" w:type="dxa"/>
            <w:shd w:val="clear" w:color="auto" w:fill="FFE599" w:themeFill="accent4" w:themeFillTint="66"/>
            <w:noWrap/>
            <w:vAlign w:val="center"/>
            <w:hideMark/>
          </w:tcPr>
          <w:p w14:paraId="4C168E93" w14:textId="77777777" w:rsidR="00420ED8" w:rsidRPr="00E956C3" w:rsidRDefault="00420ED8" w:rsidP="00D06205">
            <w:pPr>
              <w:spacing w:after="0"/>
              <w:jc w:val="center"/>
            </w:pPr>
            <w:r w:rsidRPr="00E956C3">
              <w:t>79%</w:t>
            </w:r>
          </w:p>
        </w:tc>
        <w:tc>
          <w:tcPr>
            <w:tcW w:w="1109" w:type="dxa"/>
            <w:shd w:val="clear" w:color="DDEBF7" w:fill="DDEBF7"/>
            <w:noWrap/>
            <w:vAlign w:val="center"/>
            <w:hideMark/>
          </w:tcPr>
          <w:p w14:paraId="18686B68" w14:textId="77777777" w:rsidR="00420ED8" w:rsidRPr="00E956C3" w:rsidRDefault="00420ED8" w:rsidP="00D06205">
            <w:pPr>
              <w:spacing w:after="0"/>
              <w:jc w:val="center"/>
            </w:pPr>
            <w:r w:rsidRPr="00E956C3">
              <w:t>-6%</w:t>
            </w:r>
          </w:p>
        </w:tc>
        <w:tc>
          <w:tcPr>
            <w:tcW w:w="1017" w:type="dxa"/>
            <w:shd w:val="clear" w:color="DDEBF7" w:fill="DDEBF7"/>
            <w:noWrap/>
            <w:vAlign w:val="center"/>
            <w:hideMark/>
          </w:tcPr>
          <w:p w14:paraId="78ED2BA0" w14:textId="77777777" w:rsidR="00420ED8" w:rsidRPr="00E956C3" w:rsidRDefault="00420ED8" w:rsidP="00D06205">
            <w:pPr>
              <w:spacing w:after="0"/>
              <w:jc w:val="center"/>
            </w:pPr>
            <w:r w:rsidRPr="00E956C3">
              <w:t>-3%</w:t>
            </w:r>
          </w:p>
        </w:tc>
      </w:tr>
      <w:tr w:rsidR="00420ED8" w:rsidRPr="007653CA" w14:paraId="40DACB38" w14:textId="77777777" w:rsidTr="00EA2B54">
        <w:trPr>
          <w:trHeight w:val="300"/>
        </w:trPr>
        <w:tc>
          <w:tcPr>
            <w:tcW w:w="3408" w:type="dxa"/>
            <w:shd w:val="clear" w:color="auto" w:fill="auto"/>
            <w:noWrap/>
            <w:vAlign w:val="center"/>
            <w:hideMark/>
          </w:tcPr>
          <w:p w14:paraId="14607FDA" w14:textId="77777777" w:rsidR="00420ED8" w:rsidRPr="00E956C3" w:rsidRDefault="00420ED8" w:rsidP="00D06205">
            <w:pPr>
              <w:spacing w:after="0"/>
            </w:pPr>
            <w:r w:rsidRPr="00E956C3">
              <w:t>Architecture</w:t>
            </w:r>
          </w:p>
        </w:tc>
        <w:tc>
          <w:tcPr>
            <w:tcW w:w="1114" w:type="dxa"/>
            <w:shd w:val="clear" w:color="auto" w:fill="auto"/>
            <w:noWrap/>
            <w:vAlign w:val="center"/>
            <w:hideMark/>
          </w:tcPr>
          <w:p w14:paraId="55158DE2" w14:textId="77777777" w:rsidR="00420ED8" w:rsidRPr="00E956C3" w:rsidRDefault="00420ED8" w:rsidP="00D06205">
            <w:pPr>
              <w:spacing w:after="0"/>
              <w:jc w:val="center"/>
            </w:pPr>
            <w:r w:rsidRPr="00E956C3">
              <w:t>89%</w:t>
            </w:r>
          </w:p>
        </w:tc>
        <w:tc>
          <w:tcPr>
            <w:tcW w:w="862" w:type="dxa"/>
            <w:shd w:val="clear" w:color="auto" w:fill="auto"/>
            <w:noWrap/>
            <w:vAlign w:val="center"/>
            <w:hideMark/>
          </w:tcPr>
          <w:p w14:paraId="36F10014" w14:textId="77777777" w:rsidR="00420ED8" w:rsidRPr="00E956C3" w:rsidRDefault="00420ED8" w:rsidP="00D06205">
            <w:pPr>
              <w:spacing w:after="0"/>
              <w:jc w:val="center"/>
            </w:pPr>
            <w:r w:rsidRPr="00E956C3">
              <w:t>81%</w:t>
            </w:r>
          </w:p>
        </w:tc>
        <w:tc>
          <w:tcPr>
            <w:tcW w:w="862" w:type="dxa"/>
            <w:shd w:val="clear" w:color="auto" w:fill="auto"/>
            <w:noWrap/>
            <w:vAlign w:val="center"/>
            <w:hideMark/>
          </w:tcPr>
          <w:p w14:paraId="569CC519" w14:textId="77777777" w:rsidR="00420ED8" w:rsidRPr="00E956C3" w:rsidRDefault="00420ED8" w:rsidP="00D06205">
            <w:pPr>
              <w:spacing w:after="0"/>
              <w:jc w:val="center"/>
            </w:pPr>
            <w:r w:rsidRPr="00E956C3">
              <w:t>81%</w:t>
            </w:r>
          </w:p>
        </w:tc>
        <w:tc>
          <w:tcPr>
            <w:tcW w:w="862" w:type="dxa"/>
            <w:shd w:val="clear" w:color="auto" w:fill="FFE599" w:themeFill="accent4" w:themeFillTint="66"/>
            <w:noWrap/>
            <w:vAlign w:val="center"/>
            <w:hideMark/>
          </w:tcPr>
          <w:p w14:paraId="57423502" w14:textId="77777777" w:rsidR="00420ED8" w:rsidRPr="00E956C3" w:rsidRDefault="00420ED8" w:rsidP="00D06205">
            <w:pPr>
              <w:spacing w:after="0"/>
              <w:jc w:val="center"/>
            </w:pPr>
            <w:r w:rsidRPr="00E956C3">
              <w:t>83%</w:t>
            </w:r>
          </w:p>
        </w:tc>
        <w:tc>
          <w:tcPr>
            <w:tcW w:w="1109" w:type="dxa"/>
            <w:shd w:val="clear" w:color="auto" w:fill="auto"/>
            <w:noWrap/>
            <w:vAlign w:val="center"/>
            <w:hideMark/>
          </w:tcPr>
          <w:p w14:paraId="21F88145" w14:textId="77777777" w:rsidR="00420ED8" w:rsidRPr="00E956C3" w:rsidRDefault="00420ED8" w:rsidP="00D06205">
            <w:pPr>
              <w:spacing w:after="0"/>
              <w:jc w:val="center"/>
            </w:pPr>
            <w:r w:rsidRPr="00E956C3">
              <w:t>2%</w:t>
            </w:r>
          </w:p>
        </w:tc>
        <w:tc>
          <w:tcPr>
            <w:tcW w:w="1017" w:type="dxa"/>
            <w:shd w:val="clear" w:color="auto" w:fill="auto"/>
            <w:noWrap/>
            <w:vAlign w:val="center"/>
            <w:hideMark/>
          </w:tcPr>
          <w:p w14:paraId="5583EAFD" w14:textId="77777777" w:rsidR="00420ED8" w:rsidRPr="00E956C3" w:rsidRDefault="00420ED8" w:rsidP="00D06205">
            <w:pPr>
              <w:spacing w:after="0"/>
              <w:jc w:val="center"/>
            </w:pPr>
            <w:r w:rsidRPr="00E956C3">
              <w:t>-6%</w:t>
            </w:r>
          </w:p>
        </w:tc>
      </w:tr>
      <w:tr w:rsidR="00420ED8" w:rsidRPr="007653CA" w14:paraId="388927DE" w14:textId="77777777" w:rsidTr="00EA2B54">
        <w:trPr>
          <w:trHeight w:val="300"/>
        </w:trPr>
        <w:tc>
          <w:tcPr>
            <w:tcW w:w="3408" w:type="dxa"/>
            <w:shd w:val="clear" w:color="DDEBF7" w:fill="DDEBF7"/>
            <w:noWrap/>
            <w:vAlign w:val="center"/>
            <w:hideMark/>
          </w:tcPr>
          <w:p w14:paraId="24B2FEFC" w14:textId="77777777" w:rsidR="00420ED8" w:rsidRPr="00E956C3" w:rsidRDefault="00420ED8" w:rsidP="00D06205">
            <w:pPr>
              <w:spacing w:after="0"/>
            </w:pPr>
            <w:r w:rsidRPr="00E956C3">
              <w:t>Bridgepoint</w:t>
            </w:r>
          </w:p>
        </w:tc>
        <w:tc>
          <w:tcPr>
            <w:tcW w:w="1114" w:type="dxa"/>
            <w:shd w:val="clear" w:color="DDEBF7" w:fill="DDEBF7"/>
            <w:noWrap/>
            <w:vAlign w:val="center"/>
            <w:hideMark/>
          </w:tcPr>
          <w:p w14:paraId="01ECC2A5" w14:textId="77777777" w:rsidR="00420ED8" w:rsidRPr="00E956C3" w:rsidRDefault="00420ED8" w:rsidP="00D06205">
            <w:pPr>
              <w:spacing w:after="0"/>
              <w:jc w:val="center"/>
            </w:pPr>
            <w:r w:rsidRPr="00E956C3">
              <w:t>77%</w:t>
            </w:r>
          </w:p>
        </w:tc>
        <w:tc>
          <w:tcPr>
            <w:tcW w:w="862" w:type="dxa"/>
            <w:shd w:val="clear" w:color="DDEBF7" w:fill="DDEBF7"/>
            <w:noWrap/>
            <w:vAlign w:val="center"/>
            <w:hideMark/>
          </w:tcPr>
          <w:p w14:paraId="72F3F726" w14:textId="77777777" w:rsidR="00420ED8" w:rsidRPr="00E956C3" w:rsidRDefault="00420ED8" w:rsidP="00D06205">
            <w:pPr>
              <w:spacing w:after="0"/>
              <w:jc w:val="center"/>
            </w:pPr>
            <w:r w:rsidRPr="00E956C3">
              <w:t>84%</w:t>
            </w:r>
          </w:p>
        </w:tc>
        <w:tc>
          <w:tcPr>
            <w:tcW w:w="862" w:type="dxa"/>
            <w:shd w:val="clear" w:color="DDEBF7" w:fill="DDEBF7"/>
            <w:noWrap/>
            <w:vAlign w:val="center"/>
            <w:hideMark/>
          </w:tcPr>
          <w:p w14:paraId="145D6A64" w14:textId="77777777" w:rsidR="00420ED8" w:rsidRPr="00E956C3" w:rsidRDefault="00420ED8" w:rsidP="00D06205">
            <w:pPr>
              <w:spacing w:after="0"/>
              <w:jc w:val="center"/>
            </w:pPr>
            <w:r w:rsidRPr="00E956C3">
              <w:t>78%</w:t>
            </w:r>
          </w:p>
        </w:tc>
        <w:tc>
          <w:tcPr>
            <w:tcW w:w="862" w:type="dxa"/>
            <w:shd w:val="clear" w:color="auto" w:fill="FFE599" w:themeFill="accent4" w:themeFillTint="66"/>
            <w:noWrap/>
            <w:vAlign w:val="center"/>
            <w:hideMark/>
          </w:tcPr>
          <w:p w14:paraId="5EC73300" w14:textId="77777777" w:rsidR="00420ED8" w:rsidRPr="00E956C3" w:rsidRDefault="00420ED8" w:rsidP="00D06205">
            <w:pPr>
              <w:spacing w:after="0"/>
              <w:jc w:val="center"/>
            </w:pPr>
            <w:r w:rsidRPr="00E956C3">
              <w:t>79%</w:t>
            </w:r>
          </w:p>
        </w:tc>
        <w:tc>
          <w:tcPr>
            <w:tcW w:w="1109" w:type="dxa"/>
            <w:shd w:val="clear" w:color="DDEBF7" w:fill="DDEBF7"/>
            <w:noWrap/>
            <w:vAlign w:val="center"/>
            <w:hideMark/>
          </w:tcPr>
          <w:p w14:paraId="1AFC7B71" w14:textId="77777777" w:rsidR="00420ED8" w:rsidRPr="00E956C3" w:rsidRDefault="00420ED8" w:rsidP="00D06205">
            <w:pPr>
              <w:spacing w:after="0"/>
              <w:jc w:val="center"/>
            </w:pPr>
            <w:r w:rsidRPr="00E956C3">
              <w:t>1%</w:t>
            </w:r>
          </w:p>
        </w:tc>
        <w:tc>
          <w:tcPr>
            <w:tcW w:w="1017" w:type="dxa"/>
            <w:shd w:val="clear" w:color="auto" w:fill="D9E2F3" w:themeFill="accent5" w:themeFillTint="33"/>
            <w:noWrap/>
            <w:vAlign w:val="center"/>
            <w:hideMark/>
          </w:tcPr>
          <w:p w14:paraId="63185BDD" w14:textId="77777777" w:rsidR="00420ED8" w:rsidRPr="00E956C3" w:rsidRDefault="00420ED8" w:rsidP="00D06205">
            <w:pPr>
              <w:spacing w:after="0"/>
              <w:jc w:val="center"/>
            </w:pPr>
            <w:r w:rsidRPr="00E956C3">
              <w:t>2%</w:t>
            </w:r>
          </w:p>
        </w:tc>
      </w:tr>
      <w:tr w:rsidR="00420ED8" w:rsidRPr="007653CA" w14:paraId="4606D084" w14:textId="77777777" w:rsidTr="00EA2B54">
        <w:trPr>
          <w:trHeight w:val="300"/>
        </w:trPr>
        <w:tc>
          <w:tcPr>
            <w:tcW w:w="3408" w:type="dxa"/>
            <w:shd w:val="clear" w:color="auto" w:fill="auto"/>
            <w:noWrap/>
            <w:vAlign w:val="center"/>
            <w:hideMark/>
          </w:tcPr>
          <w:p w14:paraId="00CB4FC9" w14:textId="77777777" w:rsidR="00420ED8" w:rsidRPr="00E956C3" w:rsidRDefault="00420ED8" w:rsidP="00D06205">
            <w:pPr>
              <w:spacing w:after="0"/>
            </w:pPr>
            <w:r w:rsidRPr="00E956C3">
              <w:t>Building Construction</w:t>
            </w:r>
          </w:p>
        </w:tc>
        <w:tc>
          <w:tcPr>
            <w:tcW w:w="1114" w:type="dxa"/>
            <w:shd w:val="clear" w:color="auto" w:fill="auto"/>
            <w:noWrap/>
            <w:vAlign w:val="center"/>
            <w:hideMark/>
          </w:tcPr>
          <w:p w14:paraId="12C08739" w14:textId="77777777" w:rsidR="00420ED8" w:rsidRPr="00E956C3" w:rsidRDefault="00420ED8" w:rsidP="00D06205">
            <w:pPr>
              <w:spacing w:after="0"/>
              <w:jc w:val="center"/>
            </w:pPr>
            <w:r w:rsidRPr="00E956C3">
              <w:t>92%</w:t>
            </w:r>
          </w:p>
        </w:tc>
        <w:tc>
          <w:tcPr>
            <w:tcW w:w="862" w:type="dxa"/>
            <w:shd w:val="clear" w:color="auto" w:fill="auto"/>
            <w:noWrap/>
            <w:vAlign w:val="center"/>
            <w:hideMark/>
          </w:tcPr>
          <w:p w14:paraId="7F1047D5" w14:textId="77777777" w:rsidR="00420ED8" w:rsidRPr="00E956C3" w:rsidRDefault="00420ED8" w:rsidP="00D06205">
            <w:pPr>
              <w:spacing w:after="0"/>
              <w:jc w:val="center"/>
            </w:pPr>
            <w:r w:rsidRPr="00E956C3">
              <w:t>92%</w:t>
            </w:r>
          </w:p>
        </w:tc>
        <w:tc>
          <w:tcPr>
            <w:tcW w:w="862" w:type="dxa"/>
            <w:shd w:val="clear" w:color="auto" w:fill="auto"/>
            <w:noWrap/>
            <w:vAlign w:val="center"/>
            <w:hideMark/>
          </w:tcPr>
          <w:p w14:paraId="2EA0AF94" w14:textId="77777777" w:rsidR="00420ED8" w:rsidRPr="00E956C3" w:rsidRDefault="00420ED8" w:rsidP="00D06205">
            <w:pPr>
              <w:spacing w:after="0"/>
              <w:jc w:val="center"/>
            </w:pPr>
            <w:r w:rsidRPr="00E956C3">
              <w:t>78%</w:t>
            </w:r>
          </w:p>
        </w:tc>
        <w:tc>
          <w:tcPr>
            <w:tcW w:w="862" w:type="dxa"/>
            <w:shd w:val="clear" w:color="auto" w:fill="FFE599" w:themeFill="accent4" w:themeFillTint="66"/>
            <w:noWrap/>
            <w:vAlign w:val="center"/>
            <w:hideMark/>
          </w:tcPr>
          <w:p w14:paraId="657C7FEE" w14:textId="77777777" w:rsidR="00420ED8" w:rsidRPr="00E956C3" w:rsidRDefault="00420ED8" w:rsidP="00D06205">
            <w:pPr>
              <w:spacing w:after="0"/>
              <w:jc w:val="center"/>
            </w:pPr>
            <w:r w:rsidRPr="00E956C3">
              <w:t>79%</w:t>
            </w:r>
          </w:p>
        </w:tc>
        <w:tc>
          <w:tcPr>
            <w:tcW w:w="1109" w:type="dxa"/>
            <w:shd w:val="clear" w:color="auto" w:fill="auto"/>
            <w:noWrap/>
            <w:vAlign w:val="center"/>
            <w:hideMark/>
          </w:tcPr>
          <w:p w14:paraId="7444AC04" w14:textId="77777777" w:rsidR="00420ED8" w:rsidRPr="00E956C3" w:rsidRDefault="00420ED8" w:rsidP="00D06205">
            <w:pPr>
              <w:spacing w:after="0"/>
              <w:jc w:val="center"/>
            </w:pPr>
            <w:r w:rsidRPr="00E956C3">
              <w:t>1%</w:t>
            </w:r>
          </w:p>
        </w:tc>
        <w:tc>
          <w:tcPr>
            <w:tcW w:w="1017" w:type="dxa"/>
            <w:shd w:val="clear" w:color="auto" w:fill="auto"/>
            <w:noWrap/>
            <w:vAlign w:val="center"/>
            <w:hideMark/>
          </w:tcPr>
          <w:p w14:paraId="09881E80" w14:textId="77777777" w:rsidR="00420ED8" w:rsidRPr="00E956C3" w:rsidRDefault="00420ED8" w:rsidP="00D06205">
            <w:pPr>
              <w:spacing w:after="0"/>
              <w:jc w:val="center"/>
            </w:pPr>
            <w:r w:rsidRPr="00E956C3">
              <w:t>-13%</w:t>
            </w:r>
          </w:p>
        </w:tc>
      </w:tr>
      <w:tr w:rsidR="00420ED8" w:rsidRPr="007653CA" w14:paraId="5651CDC1" w14:textId="77777777" w:rsidTr="00EA2B54">
        <w:trPr>
          <w:trHeight w:val="300"/>
        </w:trPr>
        <w:tc>
          <w:tcPr>
            <w:tcW w:w="3408" w:type="dxa"/>
            <w:shd w:val="clear" w:color="DDEBF7" w:fill="DDEBF7"/>
            <w:noWrap/>
            <w:vAlign w:val="center"/>
            <w:hideMark/>
          </w:tcPr>
          <w:p w14:paraId="0E7A44C1" w14:textId="77777777" w:rsidR="00420ED8" w:rsidRPr="00E956C3" w:rsidRDefault="00420ED8" w:rsidP="00D06205">
            <w:pPr>
              <w:spacing w:after="0"/>
            </w:pPr>
            <w:r w:rsidRPr="00E956C3">
              <w:t>Community Studies</w:t>
            </w:r>
          </w:p>
        </w:tc>
        <w:tc>
          <w:tcPr>
            <w:tcW w:w="1114" w:type="dxa"/>
            <w:shd w:val="clear" w:color="DDEBF7" w:fill="DDEBF7"/>
            <w:noWrap/>
            <w:vAlign w:val="center"/>
            <w:hideMark/>
          </w:tcPr>
          <w:p w14:paraId="03AC49B4" w14:textId="77777777" w:rsidR="00420ED8" w:rsidRPr="00E956C3" w:rsidRDefault="00420ED8" w:rsidP="00D06205">
            <w:pPr>
              <w:spacing w:after="0"/>
              <w:jc w:val="center"/>
            </w:pPr>
            <w:r w:rsidRPr="00E956C3">
              <w:t>94%</w:t>
            </w:r>
          </w:p>
        </w:tc>
        <w:tc>
          <w:tcPr>
            <w:tcW w:w="862" w:type="dxa"/>
            <w:shd w:val="clear" w:color="DDEBF7" w:fill="DDEBF7"/>
            <w:noWrap/>
            <w:vAlign w:val="center"/>
            <w:hideMark/>
          </w:tcPr>
          <w:p w14:paraId="03942A9A" w14:textId="77777777" w:rsidR="00420ED8" w:rsidRPr="00E956C3" w:rsidRDefault="00420ED8" w:rsidP="00D06205">
            <w:pPr>
              <w:spacing w:after="0"/>
              <w:jc w:val="center"/>
            </w:pPr>
            <w:r w:rsidRPr="00E956C3">
              <w:t>86%</w:t>
            </w:r>
          </w:p>
        </w:tc>
        <w:tc>
          <w:tcPr>
            <w:tcW w:w="862" w:type="dxa"/>
            <w:shd w:val="clear" w:color="DDEBF7" w:fill="DDEBF7"/>
            <w:noWrap/>
            <w:vAlign w:val="center"/>
            <w:hideMark/>
          </w:tcPr>
          <w:p w14:paraId="66330FDD" w14:textId="77777777" w:rsidR="00420ED8" w:rsidRPr="00E956C3" w:rsidRDefault="00420ED8" w:rsidP="00D06205">
            <w:pPr>
              <w:spacing w:after="0"/>
              <w:jc w:val="center"/>
            </w:pPr>
            <w:r w:rsidRPr="00E956C3">
              <w:t>94%</w:t>
            </w:r>
          </w:p>
        </w:tc>
        <w:tc>
          <w:tcPr>
            <w:tcW w:w="862" w:type="dxa"/>
            <w:shd w:val="clear" w:color="DDEBF7" w:fill="DDEBF7"/>
            <w:noWrap/>
            <w:vAlign w:val="center"/>
            <w:hideMark/>
          </w:tcPr>
          <w:p w14:paraId="4FF47AC9" w14:textId="77777777" w:rsidR="00420ED8" w:rsidRPr="00E956C3" w:rsidRDefault="00420ED8" w:rsidP="00D06205">
            <w:pPr>
              <w:spacing w:after="0"/>
              <w:jc w:val="center"/>
            </w:pPr>
            <w:r w:rsidRPr="00E956C3">
              <w:t>90%</w:t>
            </w:r>
          </w:p>
        </w:tc>
        <w:tc>
          <w:tcPr>
            <w:tcW w:w="1109" w:type="dxa"/>
            <w:shd w:val="clear" w:color="DDEBF7" w:fill="DDEBF7"/>
            <w:noWrap/>
            <w:vAlign w:val="center"/>
            <w:hideMark/>
          </w:tcPr>
          <w:p w14:paraId="71174144" w14:textId="77777777" w:rsidR="00420ED8" w:rsidRPr="00E956C3" w:rsidRDefault="00420ED8" w:rsidP="00D06205">
            <w:pPr>
              <w:spacing w:after="0"/>
              <w:jc w:val="center"/>
            </w:pPr>
            <w:r w:rsidRPr="00E956C3">
              <w:t>-4%</w:t>
            </w:r>
          </w:p>
        </w:tc>
        <w:tc>
          <w:tcPr>
            <w:tcW w:w="1017" w:type="dxa"/>
            <w:shd w:val="clear" w:color="DDEBF7" w:fill="DDEBF7"/>
            <w:noWrap/>
            <w:vAlign w:val="center"/>
            <w:hideMark/>
          </w:tcPr>
          <w:p w14:paraId="242FBC26" w14:textId="77777777" w:rsidR="00420ED8" w:rsidRPr="00E956C3" w:rsidRDefault="00420ED8" w:rsidP="00D06205">
            <w:pPr>
              <w:spacing w:after="0"/>
              <w:jc w:val="center"/>
            </w:pPr>
            <w:r w:rsidRPr="00E956C3">
              <w:t>-4%</w:t>
            </w:r>
          </w:p>
        </w:tc>
      </w:tr>
      <w:tr w:rsidR="00420ED8" w:rsidRPr="007653CA" w14:paraId="28ED1DE2" w14:textId="77777777" w:rsidTr="00EA2B54">
        <w:trPr>
          <w:trHeight w:val="300"/>
        </w:trPr>
        <w:tc>
          <w:tcPr>
            <w:tcW w:w="3408" w:type="dxa"/>
            <w:shd w:val="clear" w:color="auto" w:fill="auto"/>
            <w:noWrap/>
            <w:vAlign w:val="center"/>
            <w:hideMark/>
          </w:tcPr>
          <w:p w14:paraId="1B4F37B0" w14:textId="77777777" w:rsidR="00420ED8" w:rsidRPr="00E956C3" w:rsidRDefault="00420ED8" w:rsidP="00D06205">
            <w:pPr>
              <w:spacing w:after="0"/>
            </w:pPr>
            <w:r w:rsidRPr="00E956C3">
              <w:t>Computing &amp; Information Technology</w:t>
            </w:r>
          </w:p>
        </w:tc>
        <w:tc>
          <w:tcPr>
            <w:tcW w:w="1114" w:type="dxa"/>
            <w:shd w:val="clear" w:color="auto" w:fill="auto"/>
            <w:noWrap/>
            <w:vAlign w:val="center"/>
            <w:hideMark/>
          </w:tcPr>
          <w:p w14:paraId="491814DB" w14:textId="77777777" w:rsidR="00420ED8" w:rsidRPr="00E956C3" w:rsidRDefault="00420ED8" w:rsidP="00D06205">
            <w:pPr>
              <w:spacing w:after="0"/>
              <w:jc w:val="center"/>
            </w:pPr>
            <w:r w:rsidRPr="00E956C3">
              <w:t>68%</w:t>
            </w:r>
          </w:p>
        </w:tc>
        <w:tc>
          <w:tcPr>
            <w:tcW w:w="862" w:type="dxa"/>
            <w:shd w:val="clear" w:color="auto" w:fill="auto"/>
            <w:noWrap/>
            <w:vAlign w:val="center"/>
            <w:hideMark/>
          </w:tcPr>
          <w:p w14:paraId="3BE4FF0F" w14:textId="77777777" w:rsidR="00420ED8" w:rsidRPr="00E956C3" w:rsidRDefault="00420ED8" w:rsidP="00D06205">
            <w:pPr>
              <w:spacing w:after="0"/>
              <w:jc w:val="center"/>
            </w:pPr>
            <w:r w:rsidRPr="00E956C3">
              <w:t>70%</w:t>
            </w:r>
          </w:p>
        </w:tc>
        <w:tc>
          <w:tcPr>
            <w:tcW w:w="862" w:type="dxa"/>
            <w:shd w:val="clear" w:color="auto" w:fill="auto"/>
            <w:noWrap/>
            <w:vAlign w:val="center"/>
            <w:hideMark/>
          </w:tcPr>
          <w:p w14:paraId="5B19B2B2" w14:textId="77777777" w:rsidR="00420ED8" w:rsidRPr="00E956C3" w:rsidRDefault="00420ED8" w:rsidP="00D06205">
            <w:pPr>
              <w:spacing w:after="0"/>
              <w:jc w:val="center"/>
            </w:pPr>
            <w:r w:rsidRPr="00E956C3">
              <w:t>61%</w:t>
            </w:r>
          </w:p>
        </w:tc>
        <w:tc>
          <w:tcPr>
            <w:tcW w:w="862" w:type="dxa"/>
            <w:shd w:val="clear" w:color="auto" w:fill="FFCCCC"/>
            <w:noWrap/>
            <w:vAlign w:val="center"/>
            <w:hideMark/>
          </w:tcPr>
          <w:p w14:paraId="03E9451D" w14:textId="77777777" w:rsidR="00420ED8" w:rsidRPr="00E956C3" w:rsidRDefault="00420ED8" w:rsidP="00D06205">
            <w:pPr>
              <w:spacing w:after="0"/>
              <w:jc w:val="center"/>
            </w:pPr>
            <w:r w:rsidRPr="00E956C3">
              <w:t>55%</w:t>
            </w:r>
          </w:p>
        </w:tc>
        <w:tc>
          <w:tcPr>
            <w:tcW w:w="1109" w:type="dxa"/>
            <w:shd w:val="clear" w:color="auto" w:fill="auto"/>
            <w:noWrap/>
            <w:vAlign w:val="center"/>
            <w:hideMark/>
          </w:tcPr>
          <w:p w14:paraId="270D12F9" w14:textId="77777777" w:rsidR="00420ED8" w:rsidRPr="00E956C3" w:rsidRDefault="00420ED8" w:rsidP="00D06205">
            <w:pPr>
              <w:spacing w:after="0"/>
              <w:jc w:val="center"/>
            </w:pPr>
            <w:r w:rsidRPr="00E956C3">
              <w:t>-6%</w:t>
            </w:r>
          </w:p>
        </w:tc>
        <w:tc>
          <w:tcPr>
            <w:tcW w:w="1017" w:type="dxa"/>
            <w:shd w:val="clear" w:color="auto" w:fill="auto"/>
            <w:noWrap/>
            <w:vAlign w:val="center"/>
            <w:hideMark/>
          </w:tcPr>
          <w:p w14:paraId="3B9D9F18" w14:textId="77777777" w:rsidR="00420ED8" w:rsidRPr="00E956C3" w:rsidRDefault="00420ED8" w:rsidP="00D06205">
            <w:pPr>
              <w:spacing w:after="0"/>
              <w:jc w:val="center"/>
            </w:pPr>
            <w:r w:rsidRPr="00E956C3">
              <w:t>-13%</w:t>
            </w:r>
          </w:p>
        </w:tc>
      </w:tr>
      <w:tr w:rsidR="00420ED8" w:rsidRPr="007653CA" w14:paraId="2D75733F" w14:textId="77777777" w:rsidTr="00EA2B54">
        <w:trPr>
          <w:trHeight w:val="300"/>
        </w:trPr>
        <w:tc>
          <w:tcPr>
            <w:tcW w:w="3408" w:type="dxa"/>
            <w:shd w:val="clear" w:color="DDEBF7" w:fill="DDEBF7"/>
            <w:noWrap/>
            <w:vAlign w:val="center"/>
            <w:hideMark/>
          </w:tcPr>
          <w:p w14:paraId="2BA0297D" w14:textId="77777777" w:rsidR="00420ED8" w:rsidRPr="00E956C3" w:rsidRDefault="00420ED8" w:rsidP="00D06205">
            <w:pPr>
              <w:spacing w:after="0"/>
            </w:pPr>
            <w:r w:rsidRPr="00E956C3">
              <w:t>Creative Industries</w:t>
            </w:r>
          </w:p>
        </w:tc>
        <w:tc>
          <w:tcPr>
            <w:tcW w:w="1114" w:type="dxa"/>
            <w:shd w:val="clear" w:color="DDEBF7" w:fill="DDEBF7"/>
            <w:noWrap/>
            <w:vAlign w:val="center"/>
            <w:hideMark/>
          </w:tcPr>
          <w:p w14:paraId="3A6477B4" w14:textId="77777777" w:rsidR="00420ED8" w:rsidRPr="00E956C3" w:rsidRDefault="00420ED8" w:rsidP="00D06205">
            <w:pPr>
              <w:spacing w:after="0"/>
              <w:jc w:val="center"/>
            </w:pPr>
            <w:r w:rsidRPr="00E956C3">
              <w:t>77%</w:t>
            </w:r>
          </w:p>
        </w:tc>
        <w:tc>
          <w:tcPr>
            <w:tcW w:w="862" w:type="dxa"/>
            <w:shd w:val="clear" w:color="DDEBF7" w:fill="DDEBF7"/>
            <w:noWrap/>
            <w:vAlign w:val="center"/>
            <w:hideMark/>
          </w:tcPr>
          <w:p w14:paraId="3B50FF52" w14:textId="77777777" w:rsidR="00420ED8" w:rsidRPr="00E956C3" w:rsidRDefault="00420ED8" w:rsidP="00D06205">
            <w:pPr>
              <w:spacing w:after="0"/>
              <w:jc w:val="center"/>
            </w:pPr>
            <w:r w:rsidRPr="00E956C3">
              <w:t>80%</w:t>
            </w:r>
          </w:p>
        </w:tc>
        <w:tc>
          <w:tcPr>
            <w:tcW w:w="862" w:type="dxa"/>
            <w:shd w:val="clear" w:color="DDEBF7" w:fill="DDEBF7"/>
            <w:noWrap/>
            <w:vAlign w:val="center"/>
            <w:hideMark/>
          </w:tcPr>
          <w:p w14:paraId="2D5FB8D8" w14:textId="77777777" w:rsidR="00420ED8" w:rsidRPr="00E956C3" w:rsidRDefault="00420ED8" w:rsidP="00D06205">
            <w:pPr>
              <w:spacing w:after="0"/>
              <w:jc w:val="center"/>
            </w:pPr>
            <w:r w:rsidRPr="00E956C3">
              <w:t>75%</w:t>
            </w:r>
          </w:p>
        </w:tc>
        <w:tc>
          <w:tcPr>
            <w:tcW w:w="862" w:type="dxa"/>
            <w:shd w:val="clear" w:color="auto" w:fill="FFCCCC"/>
            <w:noWrap/>
            <w:vAlign w:val="center"/>
            <w:hideMark/>
          </w:tcPr>
          <w:p w14:paraId="4C42F7F5" w14:textId="77777777" w:rsidR="00420ED8" w:rsidRPr="00E956C3" w:rsidRDefault="00420ED8" w:rsidP="00D06205">
            <w:pPr>
              <w:spacing w:after="0"/>
              <w:jc w:val="center"/>
            </w:pPr>
            <w:r w:rsidRPr="00E956C3">
              <w:t>66%</w:t>
            </w:r>
          </w:p>
        </w:tc>
        <w:tc>
          <w:tcPr>
            <w:tcW w:w="1109" w:type="dxa"/>
            <w:shd w:val="clear" w:color="DDEBF7" w:fill="DDEBF7"/>
            <w:noWrap/>
            <w:vAlign w:val="center"/>
            <w:hideMark/>
          </w:tcPr>
          <w:p w14:paraId="402F4267" w14:textId="77777777" w:rsidR="00420ED8" w:rsidRPr="00E956C3" w:rsidRDefault="00420ED8" w:rsidP="00D06205">
            <w:pPr>
              <w:spacing w:after="0"/>
              <w:jc w:val="center"/>
            </w:pPr>
            <w:r w:rsidRPr="00E956C3">
              <w:t>-9%</w:t>
            </w:r>
          </w:p>
        </w:tc>
        <w:tc>
          <w:tcPr>
            <w:tcW w:w="1017" w:type="dxa"/>
            <w:shd w:val="clear" w:color="DDEBF7" w:fill="DDEBF7"/>
            <w:noWrap/>
            <w:vAlign w:val="center"/>
            <w:hideMark/>
          </w:tcPr>
          <w:p w14:paraId="70133F6F" w14:textId="77777777" w:rsidR="00420ED8" w:rsidRPr="00E956C3" w:rsidRDefault="00420ED8" w:rsidP="00D06205">
            <w:pPr>
              <w:spacing w:after="0"/>
              <w:jc w:val="center"/>
            </w:pPr>
            <w:r w:rsidRPr="00E956C3">
              <w:t>-11%</w:t>
            </w:r>
          </w:p>
        </w:tc>
      </w:tr>
      <w:tr w:rsidR="00420ED8" w:rsidRPr="007653CA" w14:paraId="0BB2241A" w14:textId="77777777" w:rsidTr="00EA2B54">
        <w:trPr>
          <w:trHeight w:val="300"/>
        </w:trPr>
        <w:tc>
          <w:tcPr>
            <w:tcW w:w="3408" w:type="dxa"/>
            <w:shd w:val="clear" w:color="auto" w:fill="auto"/>
            <w:noWrap/>
            <w:vAlign w:val="center"/>
            <w:hideMark/>
          </w:tcPr>
          <w:p w14:paraId="0DD2FD59" w14:textId="77777777" w:rsidR="00420ED8" w:rsidRPr="00E956C3" w:rsidRDefault="00420ED8" w:rsidP="00D06205">
            <w:pPr>
              <w:spacing w:after="0"/>
            </w:pPr>
            <w:r w:rsidRPr="00E956C3">
              <w:t>Engineering &amp; Applied Technology</w:t>
            </w:r>
          </w:p>
        </w:tc>
        <w:tc>
          <w:tcPr>
            <w:tcW w:w="1114" w:type="dxa"/>
            <w:shd w:val="clear" w:color="auto" w:fill="auto"/>
            <w:noWrap/>
            <w:vAlign w:val="center"/>
            <w:hideMark/>
          </w:tcPr>
          <w:p w14:paraId="724E016B" w14:textId="77777777" w:rsidR="00420ED8" w:rsidRPr="00E956C3" w:rsidRDefault="00420ED8" w:rsidP="00D06205">
            <w:pPr>
              <w:spacing w:after="0"/>
              <w:jc w:val="center"/>
            </w:pPr>
            <w:r w:rsidRPr="00E956C3">
              <w:t>90%</w:t>
            </w:r>
          </w:p>
        </w:tc>
        <w:tc>
          <w:tcPr>
            <w:tcW w:w="862" w:type="dxa"/>
            <w:shd w:val="clear" w:color="auto" w:fill="auto"/>
            <w:noWrap/>
            <w:vAlign w:val="center"/>
            <w:hideMark/>
          </w:tcPr>
          <w:p w14:paraId="359947A7" w14:textId="77777777" w:rsidR="00420ED8" w:rsidRPr="00E956C3" w:rsidRDefault="00420ED8" w:rsidP="00D06205">
            <w:pPr>
              <w:spacing w:after="0"/>
              <w:jc w:val="center"/>
            </w:pPr>
            <w:r w:rsidRPr="00E956C3">
              <w:t>87%</w:t>
            </w:r>
          </w:p>
        </w:tc>
        <w:tc>
          <w:tcPr>
            <w:tcW w:w="862" w:type="dxa"/>
            <w:shd w:val="clear" w:color="auto" w:fill="auto"/>
            <w:noWrap/>
            <w:vAlign w:val="center"/>
            <w:hideMark/>
          </w:tcPr>
          <w:p w14:paraId="545EAD28" w14:textId="77777777" w:rsidR="00420ED8" w:rsidRPr="00E956C3" w:rsidRDefault="00420ED8" w:rsidP="00D06205">
            <w:pPr>
              <w:spacing w:after="0"/>
              <w:jc w:val="center"/>
            </w:pPr>
            <w:r w:rsidRPr="00E956C3">
              <w:t>78%</w:t>
            </w:r>
          </w:p>
        </w:tc>
        <w:tc>
          <w:tcPr>
            <w:tcW w:w="862" w:type="dxa"/>
            <w:shd w:val="clear" w:color="auto" w:fill="FFE599" w:themeFill="accent4" w:themeFillTint="66"/>
            <w:noWrap/>
            <w:vAlign w:val="center"/>
            <w:hideMark/>
          </w:tcPr>
          <w:p w14:paraId="4F25A90D" w14:textId="77777777" w:rsidR="00420ED8" w:rsidRPr="00E956C3" w:rsidRDefault="00420ED8" w:rsidP="00D06205">
            <w:pPr>
              <w:spacing w:after="0"/>
              <w:jc w:val="center"/>
            </w:pPr>
            <w:r w:rsidRPr="00E956C3">
              <w:t>77%</w:t>
            </w:r>
          </w:p>
        </w:tc>
        <w:tc>
          <w:tcPr>
            <w:tcW w:w="1109" w:type="dxa"/>
            <w:shd w:val="clear" w:color="auto" w:fill="auto"/>
            <w:noWrap/>
            <w:vAlign w:val="center"/>
            <w:hideMark/>
          </w:tcPr>
          <w:p w14:paraId="72D34989" w14:textId="77777777" w:rsidR="00420ED8" w:rsidRPr="00E956C3" w:rsidRDefault="00420ED8" w:rsidP="00D06205">
            <w:pPr>
              <w:spacing w:after="0"/>
              <w:jc w:val="center"/>
            </w:pPr>
            <w:r w:rsidRPr="00E956C3">
              <w:t>-1%</w:t>
            </w:r>
          </w:p>
        </w:tc>
        <w:tc>
          <w:tcPr>
            <w:tcW w:w="1017" w:type="dxa"/>
            <w:shd w:val="clear" w:color="auto" w:fill="auto"/>
            <w:noWrap/>
            <w:vAlign w:val="center"/>
            <w:hideMark/>
          </w:tcPr>
          <w:p w14:paraId="2EB9099A" w14:textId="77777777" w:rsidR="00420ED8" w:rsidRPr="00E956C3" w:rsidRDefault="00420ED8" w:rsidP="00D06205">
            <w:pPr>
              <w:spacing w:after="0"/>
              <w:jc w:val="center"/>
            </w:pPr>
            <w:r w:rsidRPr="00E956C3">
              <w:t>-13%</w:t>
            </w:r>
          </w:p>
        </w:tc>
      </w:tr>
      <w:tr w:rsidR="00420ED8" w:rsidRPr="007653CA" w14:paraId="7BB75C75" w14:textId="77777777" w:rsidTr="00EA2B54">
        <w:trPr>
          <w:trHeight w:val="300"/>
        </w:trPr>
        <w:tc>
          <w:tcPr>
            <w:tcW w:w="3408" w:type="dxa"/>
            <w:shd w:val="clear" w:color="DDEBF7" w:fill="DDEBF7"/>
            <w:noWrap/>
            <w:vAlign w:val="center"/>
            <w:hideMark/>
          </w:tcPr>
          <w:p w14:paraId="4C1FB40A" w14:textId="77777777" w:rsidR="00420ED8" w:rsidRPr="00E956C3" w:rsidRDefault="00420ED8" w:rsidP="00D06205">
            <w:pPr>
              <w:spacing w:after="0"/>
            </w:pPr>
            <w:r w:rsidRPr="00E956C3">
              <w:t>Environmental &amp; Animal Sciences</w:t>
            </w:r>
          </w:p>
        </w:tc>
        <w:tc>
          <w:tcPr>
            <w:tcW w:w="1114" w:type="dxa"/>
            <w:shd w:val="clear" w:color="DDEBF7" w:fill="DDEBF7"/>
            <w:noWrap/>
            <w:vAlign w:val="center"/>
            <w:hideMark/>
          </w:tcPr>
          <w:p w14:paraId="774ABF1E" w14:textId="77777777" w:rsidR="00420ED8" w:rsidRPr="00E956C3" w:rsidRDefault="00420ED8" w:rsidP="00D06205">
            <w:pPr>
              <w:spacing w:after="0"/>
              <w:jc w:val="center"/>
            </w:pPr>
            <w:r w:rsidRPr="00E956C3">
              <w:t>81%</w:t>
            </w:r>
          </w:p>
        </w:tc>
        <w:tc>
          <w:tcPr>
            <w:tcW w:w="862" w:type="dxa"/>
            <w:shd w:val="clear" w:color="DDEBF7" w:fill="DDEBF7"/>
            <w:noWrap/>
            <w:vAlign w:val="center"/>
            <w:hideMark/>
          </w:tcPr>
          <w:p w14:paraId="0992D9CA" w14:textId="77777777" w:rsidR="00420ED8" w:rsidRPr="00E956C3" w:rsidRDefault="00420ED8" w:rsidP="00D06205">
            <w:pPr>
              <w:spacing w:after="0"/>
              <w:jc w:val="center"/>
            </w:pPr>
            <w:r w:rsidRPr="00E956C3">
              <w:t>92%</w:t>
            </w:r>
          </w:p>
        </w:tc>
        <w:tc>
          <w:tcPr>
            <w:tcW w:w="862" w:type="dxa"/>
            <w:shd w:val="clear" w:color="DDEBF7" w:fill="DDEBF7"/>
            <w:noWrap/>
            <w:vAlign w:val="center"/>
            <w:hideMark/>
          </w:tcPr>
          <w:p w14:paraId="61B9BF78" w14:textId="77777777" w:rsidR="00420ED8" w:rsidRPr="00E956C3" w:rsidRDefault="00420ED8" w:rsidP="00D06205">
            <w:pPr>
              <w:spacing w:after="0"/>
              <w:jc w:val="center"/>
            </w:pPr>
            <w:r w:rsidRPr="00E956C3">
              <w:t>87%</w:t>
            </w:r>
          </w:p>
        </w:tc>
        <w:tc>
          <w:tcPr>
            <w:tcW w:w="862" w:type="dxa"/>
            <w:shd w:val="clear" w:color="auto" w:fill="DEEAF6" w:themeFill="accent1" w:themeFillTint="33"/>
            <w:noWrap/>
            <w:vAlign w:val="center"/>
            <w:hideMark/>
          </w:tcPr>
          <w:p w14:paraId="2DF35B6D" w14:textId="77777777" w:rsidR="00420ED8" w:rsidRPr="00E956C3" w:rsidRDefault="00420ED8" w:rsidP="00D06205">
            <w:pPr>
              <w:spacing w:after="0"/>
              <w:jc w:val="center"/>
            </w:pPr>
            <w:r w:rsidRPr="00E956C3">
              <w:t>85%</w:t>
            </w:r>
          </w:p>
        </w:tc>
        <w:tc>
          <w:tcPr>
            <w:tcW w:w="1109" w:type="dxa"/>
            <w:shd w:val="clear" w:color="DDEBF7" w:fill="DDEBF7"/>
            <w:noWrap/>
            <w:vAlign w:val="center"/>
            <w:hideMark/>
          </w:tcPr>
          <w:p w14:paraId="6C072F99" w14:textId="77777777" w:rsidR="00420ED8" w:rsidRPr="00E956C3" w:rsidRDefault="00420ED8" w:rsidP="00D06205">
            <w:pPr>
              <w:spacing w:after="0"/>
              <w:jc w:val="center"/>
            </w:pPr>
            <w:r w:rsidRPr="00E956C3">
              <w:t>-2%</w:t>
            </w:r>
          </w:p>
        </w:tc>
        <w:tc>
          <w:tcPr>
            <w:tcW w:w="1017" w:type="dxa"/>
            <w:shd w:val="clear" w:color="DDEBF7" w:fill="DDEBF7"/>
            <w:noWrap/>
            <w:vAlign w:val="center"/>
            <w:hideMark/>
          </w:tcPr>
          <w:p w14:paraId="6AB9F9F7" w14:textId="77777777" w:rsidR="00420ED8" w:rsidRPr="00E956C3" w:rsidRDefault="00420ED8" w:rsidP="00D06205">
            <w:pPr>
              <w:spacing w:after="0"/>
              <w:jc w:val="center"/>
            </w:pPr>
            <w:r w:rsidRPr="00E956C3">
              <w:t>4%</w:t>
            </w:r>
          </w:p>
        </w:tc>
      </w:tr>
      <w:tr w:rsidR="00420ED8" w:rsidRPr="007653CA" w14:paraId="52D2E004" w14:textId="77777777" w:rsidTr="00EA2B54">
        <w:trPr>
          <w:trHeight w:val="300"/>
        </w:trPr>
        <w:tc>
          <w:tcPr>
            <w:tcW w:w="3408" w:type="dxa"/>
            <w:shd w:val="clear" w:color="auto" w:fill="auto"/>
            <w:noWrap/>
            <w:vAlign w:val="center"/>
            <w:hideMark/>
          </w:tcPr>
          <w:p w14:paraId="4462EBA4" w14:textId="77777777" w:rsidR="00420ED8" w:rsidRPr="00E956C3" w:rsidRDefault="00420ED8" w:rsidP="00D06205">
            <w:pPr>
              <w:spacing w:after="0"/>
            </w:pPr>
            <w:r w:rsidRPr="00E956C3">
              <w:t>Healthcare &amp; Social Practice</w:t>
            </w:r>
          </w:p>
        </w:tc>
        <w:tc>
          <w:tcPr>
            <w:tcW w:w="1114" w:type="dxa"/>
            <w:shd w:val="clear" w:color="auto" w:fill="auto"/>
            <w:noWrap/>
            <w:vAlign w:val="center"/>
            <w:hideMark/>
          </w:tcPr>
          <w:p w14:paraId="21F6C53A" w14:textId="77777777" w:rsidR="00420ED8" w:rsidRPr="00E956C3" w:rsidRDefault="00420ED8" w:rsidP="00D06205">
            <w:pPr>
              <w:spacing w:after="0"/>
              <w:jc w:val="center"/>
            </w:pPr>
            <w:r w:rsidRPr="00E956C3">
              <w:t>85%</w:t>
            </w:r>
          </w:p>
        </w:tc>
        <w:tc>
          <w:tcPr>
            <w:tcW w:w="862" w:type="dxa"/>
            <w:shd w:val="clear" w:color="auto" w:fill="auto"/>
            <w:noWrap/>
            <w:vAlign w:val="center"/>
            <w:hideMark/>
          </w:tcPr>
          <w:p w14:paraId="12F902F6" w14:textId="77777777" w:rsidR="00420ED8" w:rsidRPr="00E956C3" w:rsidRDefault="00420ED8" w:rsidP="00D06205">
            <w:pPr>
              <w:spacing w:after="0"/>
              <w:jc w:val="center"/>
            </w:pPr>
            <w:r w:rsidRPr="00E956C3">
              <w:t>86%</w:t>
            </w:r>
          </w:p>
        </w:tc>
        <w:tc>
          <w:tcPr>
            <w:tcW w:w="862" w:type="dxa"/>
            <w:shd w:val="clear" w:color="auto" w:fill="auto"/>
            <w:noWrap/>
            <w:vAlign w:val="center"/>
            <w:hideMark/>
          </w:tcPr>
          <w:p w14:paraId="75F35661" w14:textId="77777777" w:rsidR="00420ED8" w:rsidRPr="00E956C3" w:rsidRDefault="00420ED8" w:rsidP="00D06205">
            <w:pPr>
              <w:spacing w:after="0"/>
              <w:jc w:val="center"/>
            </w:pPr>
            <w:r w:rsidRPr="00E956C3">
              <w:t>92%</w:t>
            </w:r>
          </w:p>
        </w:tc>
        <w:tc>
          <w:tcPr>
            <w:tcW w:w="862" w:type="dxa"/>
            <w:shd w:val="clear" w:color="auto" w:fill="auto"/>
            <w:noWrap/>
            <w:vAlign w:val="center"/>
            <w:hideMark/>
          </w:tcPr>
          <w:p w14:paraId="1345BE3A" w14:textId="77777777" w:rsidR="00420ED8" w:rsidRPr="00E956C3" w:rsidRDefault="00420ED8" w:rsidP="00D06205">
            <w:pPr>
              <w:spacing w:after="0"/>
              <w:jc w:val="center"/>
            </w:pPr>
            <w:r w:rsidRPr="00E956C3">
              <w:t>87%</w:t>
            </w:r>
          </w:p>
        </w:tc>
        <w:tc>
          <w:tcPr>
            <w:tcW w:w="1109" w:type="dxa"/>
            <w:shd w:val="clear" w:color="auto" w:fill="auto"/>
            <w:noWrap/>
            <w:vAlign w:val="center"/>
            <w:hideMark/>
          </w:tcPr>
          <w:p w14:paraId="759F7BA0" w14:textId="77777777" w:rsidR="00420ED8" w:rsidRPr="00E956C3" w:rsidRDefault="00420ED8" w:rsidP="00D06205">
            <w:pPr>
              <w:spacing w:after="0"/>
              <w:jc w:val="center"/>
            </w:pPr>
            <w:r w:rsidRPr="00E956C3">
              <w:t>-5%</w:t>
            </w:r>
          </w:p>
        </w:tc>
        <w:tc>
          <w:tcPr>
            <w:tcW w:w="1017" w:type="dxa"/>
            <w:shd w:val="clear" w:color="auto" w:fill="auto"/>
            <w:noWrap/>
            <w:vAlign w:val="center"/>
            <w:hideMark/>
          </w:tcPr>
          <w:p w14:paraId="0256B10D" w14:textId="77777777" w:rsidR="00420ED8" w:rsidRPr="00E956C3" w:rsidRDefault="00420ED8" w:rsidP="00D06205">
            <w:pPr>
              <w:spacing w:after="0"/>
              <w:jc w:val="center"/>
            </w:pPr>
            <w:r w:rsidRPr="00E956C3">
              <w:t>2%</w:t>
            </w:r>
          </w:p>
        </w:tc>
      </w:tr>
      <w:tr w:rsidR="00420ED8" w:rsidRPr="007653CA" w14:paraId="78A062AB" w14:textId="77777777" w:rsidTr="00EA2B54">
        <w:trPr>
          <w:trHeight w:val="300"/>
        </w:trPr>
        <w:tc>
          <w:tcPr>
            <w:tcW w:w="3408" w:type="dxa"/>
            <w:shd w:val="clear" w:color="DDEBF7" w:fill="DDEBF7"/>
            <w:noWrap/>
            <w:vAlign w:val="center"/>
            <w:hideMark/>
          </w:tcPr>
          <w:p w14:paraId="7EE8DE4E" w14:textId="77777777" w:rsidR="00420ED8" w:rsidRPr="00E956C3" w:rsidRDefault="00420ED8" w:rsidP="00D06205">
            <w:pPr>
              <w:spacing w:after="0"/>
            </w:pPr>
            <w:r w:rsidRPr="00E956C3">
              <w:t>Trades &amp; Services</w:t>
            </w:r>
          </w:p>
        </w:tc>
        <w:tc>
          <w:tcPr>
            <w:tcW w:w="1114" w:type="dxa"/>
            <w:shd w:val="clear" w:color="DDEBF7" w:fill="DDEBF7"/>
            <w:noWrap/>
            <w:vAlign w:val="center"/>
            <w:hideMark/>
          </w:tcPr>
          <w:p w14:paraId="46A559E9" w14:textId="77777777" w:rsidR="00420ED8" w:rsidRPr="00E956C3" w:rsidRDefault="00420ED8" w:rsidP="00D06205">
            <w:pPr>
              <w:spacing w:after="0"/>
              <w:jc w:val="center"/>
            </w:pPr>
            <w:r w:rsidRPr="00E956C3">
              <w:t>89%</w:t>
            </w:r>
          </w:p>
        </w:tc>
        <w:tc>
          <w:tcPr>
            <w:tcW w:w="862" w:type="dxa"/>
            <w:shd w:val="clear" w:color="DDEBF7" w:fill="DDEBF7"/>
            <w:noWrap/>
            <w:vAlign w:val="center"/>
            <w:hideMark/>
          </w:tcPr>
          <w:p w14:paraId="507717FC" w14:textId="77777777" w:rsidR="00420ED8" w:rsidRPr="00E956C3" w:rsidRDefault="00420ED8" w:rsidP="00D06205">
            <w:pPr>
              <w:spacing w:after="0"/>
              <w:jc w:val="center"/>
            </w:pPr>
            <w:r w:rsidRPr="00E956C3">
              <w:t>83%</w:t>
            </w:r>
          </w:p>
        </w:tc>
        <w:tc>
          <w:tcPr>
            <w:tcW w:w="862" w:type="dxa"/>
            <w:shd w:val="clear" w:color="DDEBF7" w:fill="DDEBF7"/>
            <w:noWrap/>
            <w:vAlign w:val="center"/>
            <w:hideMark/>
          </w:tcPr>
          <w:p w14:paraId="03DFFE4F" w14:textId="77777777" w:rsidR="00420ED8" w:rsidRPr="00E956C3" w:rsidRDefault="00420ED8" w:rsidP="00D06205">
            <w:pPr>
              <w:spacing w:after="0"/>
              <w:jc w:val="center"/>
            </w:pPr>
            <w:r w:rsidRPr="00E956C3">
              <w:t>86%</w:t>
            </w:r>
          </w:p>
        </w:tc>
        <w:tc>
          <w:tcPr>
            <w:tcW w:w="862" w:type="dxa"/>
            <w:shd w:val="clear" w:color="auto" w:fill="FFCCCC"/>
            <w:noWrap/>
            <w:vAlign w:val="center"/>
            <w:hideMark/>
          </w:tcPr>
          <w:p w14:paraId="432BD56C" w14:textId="77777777" w:rsidR="00420ED8" w:rsidRPr="00E956C3" w:rsidRDefault="00420ED8" w:rsidP="00D06205">
            <w:pPr>
              <w:spacing w:after="0"/>
              <w:jc w:val="center"/>
            </w:pPr>
            <w:r w:rsidRPr="00E956C3">
              <w:t>76%</w:t>
            </w:r>
          </w:p>
        </w:tc>
        <w:tc>
          <w:tcPr>
            <w:tcW w:w="1109" w:type="dxa"/>
            <w:shd w:val="clear" w:color="DDEBF7" w:fill="DDEBF7"/>
            <w:noWrap/>
            <w:vAlign w:val="center"/>
            <w:hideMark/>
          </w:tcPr>
          <w:p w14:paraId="03A756F8" w14:textId="77777777" w:rsidR="00420ED8" w:rsidRPr="00E956C3" w:rsidRDefault="00420ED8" w:rsidP="00D06205">
            <w:pPr>
              <w:spacing w:after="0"/>
              <w:jc w:val="center"/>
            </w:pPr>
            <w:r w:rsidRPr="00E956C3">
              <w:t>-10%</w:t>
            </w:r>
          </w:p>
        </w:tc>
        <w:tc>
          <w:tcPr>
            <w:tcW w:w="1017" w:type="dxa"/>
            <w:shd w:val="clear" w:color="DDEBF7" w:fill="DDEBF7"/>
            <w:noWrap/>
            <w:vAlign w:val="center"/>
            <w:hideMark/>
          </w:tcPr>
          <w:p w14:paraId="45C02D8D" w14:textId="77777777" w:rsidR="00420ED8" w:rsidRPr="00E956C3" w:rsidRDefault="00420ED8" w:rsidP="00D06205">
            <w:pPr>
              <w:spacing w:after="0"/>
              <w:jc w:val="center"/>
            </w:pPr>
            <w:r w:rsidRPr="00E956C3">
              <w:t>-13%</w:t>
            </w:r>
          </w:p>
        </w:tc>
      </w:tr>
      <w:tr w:rsidR="00420ED8" w:rsidRPr="007653CA" w14:paraId="48813D7F" w14:textId="77777777" w:rsidTr="00EA2B54">
        <w:trPr>
          <w:trHeight w:val="173"/>
        </w:trPr>
        <w:tc>
          <w:tcPr>
            <w:tcW w:w="3408" w:type="dxa"/>
            <w:shd w:val="clear" w:color="auto" w:fill="auto"/>
            <w:noWrap/>
            <w:vAlign w:val="center"/>
            <w:hideMark/>
          </w:tcPr>
          <w:p w14:paraId="3BF64244" w14:textId="77777777" w:rsidR="00420ED8" w:rsidRPr="00C103D1" w:rsidRDefault="00420ED8" w:rsidP="00D06205">
            <w:pPr>
              <w:spacing w:after="0"/>
              <w:rPr>
                <w:b/>
              </w:rPr>
            </w:pPr>
            <w:r w:rsidRPr="00C103D1">
              <w:rPr>
                <w:b/>
              </w:rPr>
              <w:t>Total Unitec</w:t>
            </w:r>
          </w:p>
        </w:tc>
        <w:tc>
          <w:tcPr>
            <w:tcW w:w="1114" w:type="dxa"/>
            <w:shd w:val="clear" w:color="auto" w:fill="auto"/>
            <w:noWrap/>
            <w:vAlign w:val="center"/>
            <w:hideMark/>
          </w:tcPr>
          <w:p w14:paraId="71590630" w14:textId="77777777" w:rsidR="00420ED8" w:rsidRPr="00C103D1" w:rsidRDefault="00420ED8" w:rsidP="00D06205">
            <w:pPr>
              <w:spacing w:after="0"/>
              <w:jc w:val="center"/>
              <w:rPr>
                <w:b/>
              </w:rPr>
            </w:pPr>
            <w:r w:rsidRPr="00C103D1">
              <w:rPr>
                <w:b/>
              </w:rPr>
              <w:t>85%</w:t>
            </w:r>
          </w:p>
        </w:tc>
        <w:tc>
          <w:tcPr>
            <w:tcW w:w="862" w:type="dxa"/>
            <w:shd w:val="clear" w:color="auto" w:fill="auto"/>
            <w:noWrap/>
            <w:vAlign w:val="center"/>
            <w:hideMark/>
          </w:tcPr>
          <w:p w14:paraId="7F4F5752" w14:textId="77777777" w:rsidR="00420ED8" w:rsidRPr="00C103D1" w:rsidRDefault="00420ED8" w:rsidP="00D06205">
            <w:pPr>
              <w:spacing w:after="0"/>
              <w:jc w:val="center"/>
              <w:rPr>
                <w:b/>
              </w:rPr>
            </w:pPr>
            <w:r w:rsidRPr="00C103D1">
              <w:rPr>
                <w:b/>
              </w:rPr>
              <w:t>86%</w:t>
            </w:r>
          </w:p>
        </w:tc>
        <w:tc>
          <w:tcPr>
            <w:tcW w:w="862" w:type="dxa"/>
            <w:shd w:val="clear" w:color="auto" w:fill="auto"/>
            <w:noWrap/>
            <w:vAlign w:val="center"/>
            <w:hideMark/>
          </w:tcPr>
          <w:p w14:paraId="21D5D69B" w14:textId="77777777" w:rsidR="00420ED8" w:rsidRPr="00C103D1" w:rsidRDefault="00420ED8" w:rsidP="00D06205">
            <w:pPr>
              <w:spacing w:after="0"/>
              <w:jc w:val="center"/>
              <w:rPr>
                <w:b/>
              </w:rPr>
            </w:pPr>
            <w:r w:rsidRPr="00C103D1">
              <w:rPr>
                <w:b/>
              </w:rPr>
              <w:t>85%</w:t>
            </w:r>
          </w:p>
        </w:tc>
        <w:tc>
          <w:tcPr>
            <w:tcW w:w="862" w:type="dxa"/>
            <w:shd w:val="clear" w:color="auto" w:fill="FFE599" w:themeFill="accent4" w:themeFillTint="66"/>
            <w:noWrap/>
            <w:vAlign w:val="center"/>
            <w:hideMark/>
          </w:tcPr>
          <w:p w14:paraId="2396CEDA" w14:textId="77777777" w:rsidR="00420ED8" w:rsidRPr="00C103D1" w:rsidRDefault="00420ED8" w:rsidP="00D06205">
            <w:pPr>
              <w:spacing w:after="0"/>
              <w:jc w:val="center"/>
              <w:rPr>
                <w:b/>
              </w:rPr>
            </w:pPr>
            <w:r w:rsidRPr="00C103D1">
              <w:rPr>
                <w:b/>
              </w:rPr>
              <w:t>82%</w:t>
            </w:r>
          </w:p>
        </w:tc>
        <w:tc>
          <w:tcPr>
            <w:tcW w:w="1109" w:type="dxa"/>
            <w:shd w:val="clear" w:color="auto" w:fill="auto"/>
            <w:noWrap/>
            <w:vAlign w:val="center"/>
            <w:hideMark/>
          </w:tcPr>
          <w:p w14:paraId="6B8A532A" w14:textId="77777777" w:rsidR="00420ED8" w:rsidRPr="00C103D1" w:rsidRDefault="00420ED8" w:rsidP="00D06205">
            <w:pPr>
              <w:spacing w:after="0"/>
              <w:jc w:val="center"/>
              <w:rPr>
                <w:b/>
              </w:rPr>
            </w:pPr>
            <w:r w:rsidRPr="00C103D1">
              <w:rPr>
                <w:b/>
              </w:rPr>
              <w:t>-3%</w:t>
            </w:r>
          </w:p>
        </w:tc>
        <w:tc>
          <w:tcPr>
            <w:tcW w:w="1017" w:type="dxa"/>
            <w:shd w:val="clear" w:color="auto" w:fill="auto"/>
            <w:noWrap/>
            <w:vAlign w:val="center"/>
            <w:hideMark/>
          </w:tcPr>
          <w:p w14:paraId="34A56786" w14:textId="77777777" w:rsidR="00420ED8" w:rsidRPr="00C103D1" w:rsidRDefault="00420ED8" w:rsidP="00D06205">
            <w:pPr>
              <w:spacing w:after="0"/>
              <w:jc w:val="center"/>
              <w:rPr>
                <w:b/>
              </w:rPr>
            </w:pPr>
            <w:r w:rsidRPr="00C103D1">
              <w:rPr>
                <w:b/>
              </w:rPr>
              <w:t>-3%</w:t>
            </w:r>
          </w:p>
        </w:tc>
      </w:tr>
    </w:tbl>
    <w:p w14:paraId="2121055C" w14:textId="77777777" w:rsidR="00420ED8" w:rsidRDefault="00420ED8" w:rsidP="00420ED8"/>
    <w:p w14:paraId="0AD75432" w14:textId="77777777" w:rsidR="00352A2B" w:rsidRDefault="00352A2B" w:rsidP="00420ED8">
      <w:pPr>
        <w:rPr>
          <w:b/>
        </w:rPr>
      </w:pPr>
    </w:p>
    <w:p w14:paraId="01C5B75E" w14:textId="77777777" w:rsidR="00352A2B" w:rsidRDefault="00352A2B" w:rsidP="00420ED8">
      <w:pPr>
        <w:rPr>
          <w:b/>
        </w:rPr>
      </w:pPr>
    </w:p>
    <w:p w14:paraId="19184347" w14:textId="77777777" w:rsidR="00352A2B" w:rsidRDefault="00352A2B" w:rsidP="00420ED8">
      <w:pPr>
        <w:rPr>
          <w:b/>
        </w:rPr>
      </w:pPr>
    </w:p>
    <w:p w14:paraId="52D9C220" w14:textId="77777777" w:rsidR="00420ED8" w:rsidRPr="00A07EF8" w:rsidRDefault="00420ED8" w:rsidP="00420ED8">
      <w:pPr>
        <w:rPr>
          <w:b/>
        </w:rPr>
      </w:pPr>
      <w:r>
        <w:rPr>
          <w:b/>
        </w:rPr>
        <w:lastRenderedPageBreak/>
        <w:t>Low</w:t>
      </w:r>
      <w:r w:rsidRPr="00A07EF8">
        <w:rPr>
          <w:b/>
        </w:rPr>
        <w:t xml:space="preserve"> performers at Programme Level  </w:t>
      </w:r>
    </w:p>
    <w:p w14:paraId="06F93379" w14:textId="77777777" w:rsidR="00420ED8" w:rsidRDefault="00420ED8" w:rsidP="00420ED8">
      <w:r>
        <w:t xml:space="preserve">Graduate outcome reporting at a programme level is limited due to low survey sample sizes however indicative results show low 2019 GESC rates for the following programmes: </w:t>
      </w:r>
    </w:p>
    <w:p w14:paraId="21386760" w14:textId="77777777" w:rsidR="00420ED8" w:rsidRDefault="00420ED8" w:rsidP="00420ED8">
      <w:pPr>
        <w:pStyle w:val="ListParagraph"/>
        <w:numPr>
          <w:ilvl w:val="0"/>
          <w:numId w:val="1"/>
        </w:numPr>
      </w:pPr>
      <w:r>
        <w:t>47% (GDCMP) Graduate Diploma in Computing (39 survey responses out of 127; 28% response rate in 2019)</w:t>
      </w:r>
    </w:p>
    <w:p w14:paraId="0BE28D1E" w14:textId="77777777" w:rsidR="00420ED8" w:rsidRDefault="00420ED8" w:rsidP="00420ED8">
      <w:pPr>
        <w:pStyle w:val="ListParagraph"/>
        <w:numPr>
          <w:ilvl w:val="0"/>
          <w:numId w:val="1"/>
        </w:numPr>
      </w:pPr>
      <w:r>
        <w:t>53% (BCS) Bachelor of Computing Systems (23 survey responses out of 69; 33% response rate)</w:t>
      </w:r>
    </w:p>
    <w:p w14:paraId="0D4C7711" w14:textId="77777777" w:rsidR="00420ED8" w:rsidRDefault="00420ED8" w:rsidP="00420ED8">
      <w:pPr>
        <w:pStyle w:val="ListParagraph"/>
        <w:numPr>
          <w:ilvl w:val="0"/>
          <w:numId w:val="1"/>
        </w:numPr>
      </w:pPr>
      <w:r>
        <w:t>58% (PGDCG) Post Graduate Diploma in Computing (34 survey responses out of 82; 41% response rate)</w:t>
      </w:r>
    </w:p>
    <w:p w14:paraId="49807F5F" w14:textId="77777777" w:rsidR="00420ED8" w:rsidRDefault="00420ED8" w:rsidP="00420ED8">
      <w:pPr>
        <w:pStyle w:val="ListParagraph"/>
        <w:numPr>
          <w:ilvl w:val="0"/>
          <w:numId w:val="1"/>
        </w:numPr>
      </w:pPr>
      <w:r>
        <w:t>62% (GDCPM) Graduate Diploma in Construction Project Management (23 survey responses out of 73; 32% response rate)</w:t>
      </w:r>
    </w:p>
    <w:p w14:paraId="61A34231" w14:textId="77777777" w:rsidR="00420ED8" w:rsidRDefault="00420ED8" w:rsidP="00420ED8"/>
    <w:p w14:paraId="4F2F341B" w14:textId="77777777" w:rsidR="00420ED8" w:rsidRDefault="00420ED8" w:rsidP="00420ED8">
      <w:pPr>
        <w:pStyle w:val="Heading2"/>
      </w:pPr>
      <w:r>
        <w:t>4.3 Priority Groups</w:t>
      </w:r>
    </w:p>
    <w:p w14:paraId="60EED5A2" w14:textId="77777777" w:rsidR="005D71E0" w:rsidRDefault="005D71E0" w:rsidP="00420ED8">
      <w:pPr>
        <w:pStyle w:val="Heading2"/>
      </w:pPr>
    </w:p>
    <w:p w14:paraId="4586A249" w14:textId="77777777" w:rsidR="00420ED8" w:rsidRDefault="00420ED8" w:rsidP="00420ED8">
      <w:pPr>
        <w:pStyle w:val="Heading2"/>
        <w:rPr>
          <w:lang w:val="mi-NZ"/>
        </w:rPr>
      </w:pPr>
      <w:r>
        <w:t>4.3.1 M</w:t>
      </w:r>
      <w:r>
        <w:rPr>
          <w:lang w:val="mi-NZ"/>
        </w:rPr>
        <w:t>āori</w:t>
      </w:r>
    </w:p>
    <w:p w14:paraId="590C9CB7" w14:textId="77777777" w:rsidR="00420ED8" w:rsidRDefault="00420ED8" w:rsidP="00420ED8">
      <w:r>
        <w:t>Māori GESC rates continue to perform strongly with an increase to 92% in 2019.  The variance between Māori and non-Māori graduates continues to widen over the past 4 years which is predominantly driven by declining rates shown by Non-Māori graduates.</w:t>
      </w:r>
    </w:p>
    <w:p w14:paraId="53E4FC49" w14:textId="77777777" w:rsidR="00420ED8" w:rsidRDefault="00420ED8" w:rsidP="00420ED8">
      <w:r w:rsidRPr="00D75B84">
        <w:rPr>
          <w:noProof/>
          <w:lang w:eastAsia="en-NZ"/>
        </w:rPr>
        <w:drawing>
          <wp:inline distT="0" distB="0" distL="0" distR="0" wp14:anchorId="44A981CA" wp14:editId="35E4E9CA">
            <wp:extent cx="4849978" cy="2457907"/>
            <wp:effectExtent l="0" t="0" r="8255"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2AF5443" w14:textId="77777777" w:rsidR="00420ED8" w:rsidRDefault="00420ED8" w:rsidP="00420ED8">
      <w:r>
        <w:t xml:space="preserve">With only 129 Māori graduates surveyed in 2019, there is not, however, enough data to provide robust analysis at school or programme level. </w:t>
      </w:r>
    </w:p>
    <w:p w14:paraId="6B405CB6" w14:textId="77777777" w:rsidR="00420ED8" w:rsidRDefault="00420ED8" w:rsidP="00420ED8">
      <w:pPr>
        <w:pStyle w:val="Heading2"/>
      </w:pPr>
      <w:r>
        <w:t>4.3.2 Pacific</w:t>
      </w:r>
    </w:p>
    <w:p w14:paraId="1F31B22C" w14:textId="77777777" w:rsidR="00420ED8" w:rsidRDefault="00420ED8" w:rsidP="00420ED8">
      <w:r>
        <w:t>Pacific GESC rates continue to improve to be at 85% in 2019.  The variance between Pacific and non-Pacific graduates has increased as Non-Pacific GESC rates have dropped over the past 12 months.</w:t>
      </w:r>
    </w:p>
    <w:p w14:paraId="508D05CB" w14:textId="77777777" w:rsidR="00420ED8" w:rsidRDefault="00420ED8" w:rsidP="00420ED8">
      <w:r w:rsidRPr="00D33278">
        <w:rPr>
          <w:noProof/>
          <w:lang w:eastAsia="en-NZ"/>
        </w:rPr>
        <w:lastRenderedPageBreak/>
        <w:drawing>
          <wp:inline distT="0" distB="0" distL="0" distR="0" wp14:anchorId="29E9C832" wp14:editId="08B1E987">
            <wp:extent cx="5731510" cy="2628900"/>
            <wp:effectExtent l="0" t="0" r="254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242558" w14:textId="77777777" w:rsidR="00420ED8" w:rsidRDefault="00420ED8" w:rsidP="00420ED8">
      <w:r>
        <w:t xml:space="preserve">With only 161 Pacific graduates surveyed in 2019, there is not, however, enough data to provide robust analysis at school or programme level. </w:t>
      </w:r>
    </w:p>
    <w:p w14:paraId="7EB990AF" w14:textId="77777777" w:rsidR="00420ED8" w:rsidRDefault="00420ED8" w:rsidP="00420ED8"/>
    <w:p w14:paraId="2FF0831C" w14:textId="77777777" w:rsidR="00420ED8" w:rsidRDefault="00420ED8" w:rsidP="00420ED8">
      <w:pPr>
        <w:pStyle w:val="Heading2"/>
      </w:pPr>
      <w:r>
        <w:t>4.3.3 Under 25yrs</w:t>
      </w:r>
    </w:p>
    <w:p w14:paraId="38E294A0" w14:textId="77777777" w:rsidR="00420ED8" w:rsidRDefault="00420ED8" w:rsidP="00420ED8">
      <w:r>
        <w:t>Under 25 years GESC rates continue to track at 80% while graduates aged 25+ years has declined considerably since last year.  As a result, the variance has declined to 3%.</w:t>
      </w:r>
    </w:p>
    <w:p w14:paraId="676C9497" w14:textId="77777777" w:rsidR="00420ED8" w:rsidRDefault="00420ED8" w:rsidP="00420ED8">
      <w:r w:rsidRPr="00A51E26">
        <w:rPr>
          <w:noProof/>
          <w:lang w:eastAsia="en-NZ"/>
        </w:rPr>
        <w:drawing>
          <wp:inline distT="0" distB="0" distL="0" distR="0" wp14:anchorId="2C589ED6" wp14:editId="5ED23375">
            <wp:extent cx="5731510" cy="2905125"/>
            <wp:effectExtent l="0" t="0" r="254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B8D5639" w14:textId="77777777" w:rsidR="00420ED8" w:rsidRDefault="00420ED8" w:rsidP="00420ED8">
      <w:pPr>
        <w:rPr>
          <w:rFonts w:ascii="Calibri" w:hAnsi="Calibri" w:cs="Calibri"/>
          <w:color w:val="000000"/>
        </w:rPr>
      </w:pPr>
      <w:r>
        <w:t xml:space="preserve">The under 25 year GESC rates are varied by school with the highest rates shown by Architecture (100%) and Community Studies (95%) while the lowest rates are shown by </w:t>
      </w:r>
      <w:r>
        <w:rPr>
          <w:rFonts w:ascii="Calibri" w:hAnsi="Calibri" w:cs="Calibri"/>
          <w:color w:val="000000"/>
        </w:rPr>
        <w:t>Computing &amp; Information Technology (64%) and Applied Business (70%).  Over time, the largest short term and long term declines are shown amongst Applied Business, Healthcare &amp; Social Practice and Trades &amp; Services.</w:t>
      </w:r>
    </w:p>
    <w:p w14:paraId="08319BBB" w14:textId="77777777" w:rsidR="00420ED8" w:rsidRDefault="00420ED8" w:rsidP="00420ED8"/>
    <w:p w14:paraId="7230124C" w14:textId="77777777" w:rsidR="00352A2B" w:rsidRDefault="00352A2B" w:rsidP="00420ED8"/>
    <w:tbl>
      <w:tblPr>
        <w:tblW w:w="9234" w:type="dxa"/>
        <w:tblBorders>
          <w:top w:val="single" w:sz="4" w:space="0" w:color="9BC2E6"/>
          <w:left w:val="single" w:sz="4" w:space="0" w:color="9BC2E6"/>
          <w:bottom w:val="single" w:sz="4" w:space="0" w:color="9BC2E6"/>
          <w:right w:val="single" w:sz="4" w:space="0" w:color="9BC2E6"/>
        </w:tblBorders>
        <w:tblLayout w:type="fixed"/>
        <w:tblLook w:val="04A0" w:firstRow="1" w:lastRow="0" w:firstColumn="1" w:lastColumn="0" w:noHBand="0" w:noVBand="1"/>
      </w:tblPr>
      <w:tblGrid>
        <w:gridCol w:w="3539"/>
        <w:gridCol w:w="709"/>
        <w:gridCol w:w="709"/>
        <w:gridCol w:w="708"/>
        <w:gridCol w:w="851"/>
        <w:gridCol w:w="1701"/>
        <w:gridCol w:w="1017"/>
      </w:tblGrid>
      <w:tr w:rsidR="00420ED8" w:rsidRPr="007653CA" w14:paraId="25998829" w14:textId="77777777" w:rsidTr="00352A2B">
        <w:trPr>
          <w:trHeight w:val="461"/>
        </w:trPr>
        <w:tc>
          <w:tcPr>
            <w:tcW w:w="9234" w:type="dxa"/>
            <w:gridSpan w:val="7"/>
            <w:shd w:val="clear" w:color="5B9BD5" w:fill="5B9BD5"/>
            <w:vAlign w:val="bottom"/>
          </w:tcPr>
          <w:p w14:paraId="393AE4BF" w14:textId="77777777" w:rsidR="005D71E0" w:rsidRDefault="00420ED8" w:rsidP="005D71E0">
            <w:pPr>
              <w:spacing w:after="0" w:line="240" w:lineRule="auto"/>
              <w:jc w:val="center"/>
              <w:rPr>
                <w:rFonts w:ascii="Calibri" w:eastAsia="Times New Roman" w:hAnsi="Calibri" w:cs="Calibri"/>
                <w:b/>
                <w:bCs/>
                <w:color w:val="FFFFFF"/>
                <w:sz w:val="28"/>
                <w:lang w:eastAsia="en-NZ"/>
              </w:rPr>
            </w:pPr>
            <w:r w:rsidRPr="00D83DC8">
              <w:rPr>
                <w:rFonts w:ascii="Calibri" w:eastAsia="Times New Roman" w:hAnsi="Calibri" w:cs="Calibri"/>
                <w:b/>
                <w:bCs/>
                <w:color w:val="FFFFFF"/>
                <w:sz w:val="28"/>
                <w:lang w:eastAsia="en-NZ"/>
              </w:rPr>
              <w:lastRenderedPageBreak/>
              <w:t>Percent of Graduates Employed, Studying and Combining (GESC)</w:t>
            </w:r>
            <w:r>
              <w:rPr>
                <w:rFonts w:ascii="Calibri" w:eastAsia="Times New Roman" w:hAnsi="Calibri" w:cs="Calibri"/>
                <w:b/>
                <w:bCs/>
                <w:color w:val="FFFFFF"/>
                <w:sz w:val="28"/>
                <w:lang w:eastAsia="en-NZ"/>
              </w:rPr>
              <w:t xml:space="preserve"> </w:t>
            </w:r>
          </w:p>
          <w:p w14:paraId="23664609" w14:textId="77777777" w:rsidR="00420ED8" w:rsidRPr="007653CA" w:rsidRDefault="00420ED8" w:rsidP="005D71E0">
            <w:pPr>
              <w:spacing w:after="0" w:line="240" w:lineRule="auto"/>
              <w:jc w:val="center"/>
              <w:rPr>
                <w:rFonts w:ascii="Calibri" w:eastAsia="Times New Roman" w:hAnsi="Calibri" w:cs="Calibri"/>
                <w:b/>
                <w:bCs/>
                <w:color w:val="FFFFFF"/>
                <w:lang w:eastAsia="en-NZ"/>
              </w:rPr>
            </w:pPr>
            <w:r>
              <w:rPr>
                <w:rFonts w:ascii="Calibri" w:eastAsia="Times New Roman" w:hAnsi="Calibri" w:cs="Calibri"/>
                <w:b/>
                <w:bCs/>
                <w:color w:val="FFFFFF"/>
                <w:sz w:val="28"/>
                <w:lang w:eastAsia="en-NZ"/>
              </w:rPr>
              <w:t>- Under 25years</w:t>
            </w:r>
          </w:p>
        </w:tc>
      </w:tr>
      <w:tr w:rsidR="00420ED8" w:rsidRPr="007653CA" w14:paraId="697DCC5B" w14:textId="77777777" w:rsidTr="00352A2B">
        <w:trPr>
          <w:trHeight w:val="900"/>
        </w:trPr>
        <w:tc>
          <w:tcPr>
            <w:tcW w:w="3539" w:type="dxa"/>
            <w:shd w:val="clear" w:color="5B9BD5" w:fill="5B9BD5"/>
            <w:vAlign w:val="bottom"/>
            <w:hideMark/>
          </w:tcPr>
          <w:p w14:paraId="0E094BEA" w14:textId="77777777" w:rsidR="00420ED8" w:rsidRPr="007653CA" w:rsidRDefault="00420ED8" w:rsidP="005D71E0">
            <w:pPr>
              <w:spacing w:after="0" w:line="240" w:lineRule="auto"/>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School Name</w:t>
            </w:r>
          </w:p>
        </w:tc>
        <w:tc>
          <w:tcPr>
            <w:tcW w:w="709" w:type="dxa"/>
            <w:shd w:val="clear" w:color="5B9BD5" w:fill="5B9BD5"/>
            <w:vAlign w:val="bottom"/>
            <w:hideMark/>
          </w:tcPr>
          <w:p w14:paraId="15B1FA45" w14:textId="77777777" w:rsidR="00420ED8" w:rsidRPr="007653CA" w:rsidRDefault="00420ED8" w:rsidP="005D71E0">
            <w:pPr>
              <w:spacing w:after="0" w:line="240" w:lineRule="auto"/>
              <w:jc w:val="center"/>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w:t>
            </w:r>
            <w:r>
              <w:rPr>
                <w:rFonts w:ascii="Calibri" w:eastAsia="Times New Roman" w:hAnsi="Calibri" w:cs="Calibri"/>
                <w:b/>
                <w:bCs/>
                <w:color w:val="FFFFFF"/>
                <w:lang w:eastAsia="en-NZ"/>
              </w:rPr>
              <w:t>6</w:t>
            </w:r>
          </w:p>
        </w:tc>
        <w:tc>
          <w:tcPr>
            <w:tcW w:w="709" w:type="dxa"/>
            <w:shd w:val="clear" w:color="5B9BD5" w:fill="5B9BD5"/>
            <w:vAlign w:val="bottom"/>
            <w:hideMark/>
          </w:tcPr>
          <w:p w14:paraId="67DAEDA0" w14:textId="77777777" w:rsidR="00420ED8" w:rsidRPr="007653CA" w:rsidRDefault="00420ED8" w:rsidP="005D71E0">
            <w:pPr>
              <w:spacing w:after="0" w:line="240" w:lineRule="auto"/>
              <w:jc w:val="center"/>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w:t>
            </w:r>
            <w:r>
              <w:rPr>
                <w:rFonts w:ascii="Calibri" w:eastAsia="Times New Roman" w:hAnsi="Calibri" w:cs="Calibri"/>
                <w:b/>
                <w:bCs/>
                <w:color w:val="FFFFFF"/>
                <w:lang w:eastAsia="en-NZ"/>
              </w:rPr>
              <w:t>7</w:t>
            </w:r>
          </w:p>
        </w:tc>
        <w:tc>
          <w:tcPr>
            <w:tcW w:w="708" w:type="dxa"/>
            <w:shd w:val="clear" w:color="5B9BD5" w:fill="5B9BD5"/>
            <w:vAlign w:val="bottom"/>
            <w:hideMark/>
          </w:tcPr>
          <w:p w14:paraId="54DAF4AE" w14:textId="77777777" w:rsidR="00420ED8" w:rsidRPr="007653CA" w:rsidRDefault="00420ED8" w:rsidP="005D71E0">
            <w:pPr>
              <w:spacing w:after="0" w:line="240" w:lineRule="auto"/>
              <w:jc w:val="center"/>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201</w:t>
            </w:r>
            <w:r>
              <w:rPr>
                <w:rFonts w:ascii="Calibri" w:eastAsia="Times New Roman" w:hAnsi="Calibri" w:cs="Calibri"/>
                <w:b/>
                <w:bCs/>
                <w:color w:val="FFFFFF"/>
                <w:lang w:eastAsia="en-NZ"/>
              </w:rPr>
              <w:t>8</w:t>
            </w:r>
          </w:p>
        </w:tc>
        <w:tc>
          <w:tcPr>
            <w:tcW w:w="851" w:type="dxa"/>
            <w:shd w:val="clear" w:color="5B9BD5" w:fill="5B9BD5"/>
            <w:vAlign w:val="bottom"/>
            <w:hideMark/>
          </w:tcPr>
          <w:p w14:paraId="6EE9A414" w14:textId="77777777" w:rsidR="00420ED8" w:rsidRPr="007653CA" w:rsidRDefault="00420ED8" w:rsidP="005D71E0">
            <w:pPr>
              <w:spacing w:after="0" w:line="240" w:lineRule="auto"/>
              <w:jc w:val="center"/>
              <w:rPr>
                <w:rFonts w:ascii="Calibri" w:eastAsia="Times New Roman" w:hAnsi="Calibri" w:cs="Calibri"/>
                <w:b/>
                <w:bCs/>
                <w:color w:val="FFFFFF"/>
                <w:lang w:eastAsia="en-NZ"/>
              </w:rPr>
            </w:pPr>
            <w:r>
              <w:rPr>
                <w:rFonts w:ascii="Calibri" w:eastAsia="Times New Roman" w:hAnsi="Calibri" w:cs="Calibri"/>
                <w:b/>
                <w:bCs/>
                <w:color w:val="FFFFFF"/>
                <w:lang w:eastAsia="en-NZ"/>
              </w:rPr>
              <w:t>2019</w:t>
            </w:r>
          </w:p>
        </w:tc>
        <w:tc>
          <w:tcPr>
            <w:tcW w:w="1701" w:type="dxa"/>
            <w:shd w:val="clear" w:color="5B9BD5" w:fill="5B9BD5"/>
            <w:vAlign w:val="bottom"/>
            <w:hideMark/>
          </w:tcPr>
          <w:p w14:paraId="1448908C" w14:textId="77777777" w:rsidR="00420ED8" w:rsidRPr="007653CA" w:rsidRDefault="00420ED8" w:rsidP="005D71E0">
            <w:pPr>
              <w:spacing w:after="0" w:line="240" w:lineRule="auto"/>
              <w:jc w:val="center"/>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Variance between 2017 and 2018</w:t>
            </w:r>
          </w:p>
        </w:tc>
        <w:tc>
          <w:tcPr>
            <w:tcW w:w="1017" w:type="dxa"/>
            <w:shd w:val="clear" w:color="5B9BD5" w:fill="5B9BD5"/>
            <w:vAlign w:val="bottom"/>
            <w:hideMark/>
          </w:tcPr>
          <w:p w14:paraId="3EDE194F" w14:textId="77777777" w:rsidR="00420ED8" w:rsidRPr="007653CA" w:rsidRDefault="00420ED8" w:rsidP="005D71E0">
            <w:pPr>
              <w:spacing w:after="0" w:line="240" w:lineRule="auto"/>
              <w:jc w:val="center"/>
              <w:rPr>
                <w:rFonts w:ascii="Calibri" w:eastAsia="Times New Roman" w:hAnsi="Calibri" w:cs="Calibri"/>
                <w:b/>
                <w:bCs/>
                <w:color w:val="FFFFFF"/>
                <w:lang w:eastAsia="en-NZ"/>
              </w:rPr>
            </w:pPr>
            <w:r w:rsidRPr="007653CA">
              <w:rPr>
                <w:rFonts w:ascii="Calibri" w:eastAsia="Times New Roman" w:hAnsi="Calibri" w:cs="Calibri"/>
                <w:b/>
                <w:bCs/>
                <w:color w:val="FFFFFF"/>
                <w:lang w:eastAsia="en-NZ"/>
              </w:rPr>
              <w:t>Variance over 4 years</w:t>
            </w:r>
          </w:p>
        </w:tc>
      </w:tr>
      <w:tr w:rsidR="00420ED8" w:rsidRPr="007653CA" w14:paraId="70D01FD1" w14:textId="77777777" w:rsidTr="00352A2B">
        <w:trPr>
          <w:trHeight w:val="300"/>
        </w:trPr>
        <w:tc>
          <w:tcPr>
            <w:tcW w:w="3539" w:type="dxa"/>
            <w:shd w:val="clear" w:color="DDEBF7" w:fill="DDEBF7"/>
            <w:noWrap/>
            <w:vAlign w:val="center"/>
            <w:hideMark/>
          </w:tcPr>
          <w:p w14:paraId="1A15A50A" w14:textId="77777777" w:rsidR="00420ED8" w:rsidRDefault="00420ED8" w:rsidP="005D71E0">
            <w:pPr>
              <w:spacing w:after="0" w:line="240" w:lineRule="auto"/>
              <w:rPr>
                <w:rFonts w:ascii="Calibri" w:hAnsi="Calibri" w:cs="Calibri"/>
                <w:color w:val="000000"/>
              </w:rPr>
            </w:pPr>
            <w:r>
              <w:rPr>
                <w:rFonts w:ascii="Calibri" w:hAnsi="Calibri" w:cs="Calibri"/>
                <w:color w:val="000000"/>
              </w:rPr>
              <w:t>Applied Business</w:t>
            </w:r>
          </w:p>
        </w:tc>
        <w:tc>
          <w:tcPr>
            <w:tcW w:w="709" w:type="dxa"/>
            <w:shd w:val="clear" w:color="DDEBF7" w:fill="DDEBF7"/>
            <w:noWrap/>
            <w:vAlign w:val="center"/>
            <w:hideMark/>
          </w:tcPr>
          <w:p w14:paraId="4B692C46"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89%</w:t>
            </w:r>
          </w:p>
        </w:tc>
        <w:tc>
          <w:tcPr>
            <w:tcW w:w="709" w:type="dxa"/>
            <w:shd w:val="clear" w:color="DDEBF7" w:fill="DDEBF7"/>
            <w:noWrap/>
            <w:vAlign w:val="center"/>
            <w:hideMark/>
          </w:tcPr>
          <w:p w14:paraId="1CD469C0"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72%</w:t>
            </w:r>
          </w:p>
        </w:tc>
        <w:tc>
          <w:tcPr>
            <w:tcW w:w="708" w:type="dxa"/>
            <w:shd w:val="clear" w:color="DDEBF7" w:fill="DDEBF7"/>
            <w:noWrap/>
            <w:vAlign w:val="center"/>
            <w:hideMark/>
          </w:tcPr>
          <w:p w14:paraId="1BE9A8F1"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80%</w:t>
            </w:r>
          </w:p>
        </w:tc>
        <w:tc>
          <w:tcPr>
            <w:tcW w:w="851" w:type="dxa"/>
            <w:shd w:val="clear" w:color="auto" w:fill="DEEAF6" w:themeFill="accent1" w:themeFillTint="33"/>
            <w:noWrap/>
            <w:vAlign w:val="center"/>
            <w:hideMark/>
          </w:tcPr>
          <w:p w14:paraId="6E02F63F"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70%</w:t>
            </w:r>
          </w:p>
        </w:tc>
        <w:tc>
          <w:tcPr>
            <w:tcW w:w="1701" w:type="dxa"/>
            <w:shd w:val="clear" w:color="DDEBF7" w:fill="DDEBF7"/>
            <w:noWrap/>
            <w:vAlign w:val="center"/>
            <w:hideMark/>
          </w:tcPr>
          <w:p w14:paraId="02ADC0C8"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-10%</w:t>
            </w:r>
          </w:p>
        </w:tc>
        <w:tc>
          <w:tcPr>
            <w:tcW w:w="1017" w:type="dxa"/>
            <w:shd w:val="clear" w:color="DDEBF7" w:fill="DDEBF7"/>
            <w:noWrap/>
            <w:vAlign w:val="center"/>
            <w:hideMark/>
          </w:tcPr>
          <w:p w14:paraId="5EC96FBA"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-19%</w:t>
            </w:r>
          </w:p>
        </w:tc>
      </w:tr>
      <w:tr w:rsidR="00420ED8" w:rsidRPr="007653CA" w14:paraId="650B4A65" w14:textId="77777777" w:rsidTr="00352A2B">
        <w:trPr>
          <w:trHeight w:val="300"/>
        </w:trPr>
        <w:tc>
          <w:tcPr>
            <w:tcW w:w="3539" w:type="dxa"/>
            <w:shd w:val="clear" w:color="auto" w:fill="auto"/>
            <w:noWrap/>
            <w:vAlign w:val="center"/>
            <w:hideMark/>
          </w:tcPr>
          <w:p w14:paraId="7B617F52" w14:textId="77777777" w:rsidR="00420ED8" w:rsidRDefault="00420ED8" w:rsidP="005D71E0">
            <w:pPr>
              <w:spacing w:after="0" w:line="240" w:lineRule="auto"/>
              <w:rPr>
                <w:rFonts w:ascii="Calibri" w:hAnsi="Calibri" w:cs="Calibri"/>
                <w:color w:val="000000"/>
              </w:rPr>
            </w:pPr>
            <w:r>
              <w:rPr>
                <w:rFonts w:ascii="Calibri" w:hAnsi="Calibri" w:cs="Calibri"/>
                <w:color w:val="000000"/>
              </w:rPr>
              <w:t>Architecture</w:t>
            </w:r>
          </w:p>
        </w:tc>
        <w:tc>
          <w:tcPr>
            <w:tcW w:w="709" w:type="dxa"/>
            <w:shd w:val="clear" w:color="auto" w:fill="auto"/>
            <w:noWrap/>
            <w:vAlign w:val="center"/>
            <w:hideMark/>
          </w:tcPr>
          <w:p w14:paraId="665E6A4B"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90%</w:t>
            </w:r>
          </w:p>
        </w:tc>
        <w:tc>
          <w:tcPr>
            <w:tcW w:w="709" w:type="dxa"/>
            <w:shd w:val="clear" w:color="auto" w:fill="auto"/>
            <w:noWrap/>
            <w:vAlign w:val="center"/>
            <w:hideMark/>
          </w:tcPr>
          <w:p w14:paraId="4F20A2AD"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79%</w:t>
            </w:r>
          </w:p>
        </w:tc>
        <w:tc>
          <w:tcPr>
            <w:tcW w:w="708" w:type="dxa"/>
            <w:shd w:val="clear" w:color="auto" w:fill="auto"/>
            <w:noWrap/>
            <w:vAlign w:val="center"/>
            <w:hideMark/>
          </w:tcPr>
          <w:p w14:paraId="320DA21D"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82%</w:t>
            </w:r>
          </w:p>
        </w:tc>
        <w:tc>
          <w:tcPr>
            <w:tcW w:w="851" w:type="dxa"/>
            <w:shd w:val="clear" w:color="auto" w:fill="auto"/>
            <w:noWrap/>
            <w:vAlign w:val="center"/>
            <w:hideMark/>
          </w:tcPr>
          <w:p w14:paraId="5010EF27"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100%</w:t>
            </w:r>
          </w:p>
        </w:tc>
        <w:tc>
          <w:tcPr>
            <w:tcW w:w="1701" w:type="dxa"/>
            <w:shd w:val="clear" w:color="auto" w:fill="auto"/>
            <w:noWrap/>
            <w:vAlign w:val="center"/>
            <w:hideMark/>
          </w:tcPr>
          <w:p w14:paraId="34B382FC"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18%</w:t>
            </w:r>
          </w:p>
        </w:tc>
        <w:tc>
          <w:tcPr>
            <w:tcW w:w="1017" w:type="dxa"/>
            <w:shd w:val="clear" w:color="auto" w:fill="auto"/>
            <w:noWrap/>
            <w:vAlign w:val="center"/>
            <w:hideMark/>
          </w:tcPr>
          <w:p w14:paraId="65B4D2E3"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10%</w:t>
            </w:r>
          </w:p>
        </w:tc>
      </w:tr>
      <w:tr w:rsidR="00420ED8" w:rsidRPr="007653CA" w14:paraId="2CEF12BB" w14:textId="77777777" w:rsidTr="00352A2B">
        <w:trPr>
          <w:trHeight w:val="300"/>
        </w:trPr>
        <w:tc>
          <w:tcPr>
            <w:tcW w:w="3539" w:type="dxa"/>
            <w:shd w:val="clear" w:color="DDEBF7" w:fill="DDEBF7"/>
            <w:noWrap/>
            <w:vAlign w:val="center"/>
            <w:hideMark/>
          </w:tcPr>
          <w:p w14:paraId="7D31EF29" w14:textId="77777777" w:rsidR="00420ED8" w:rsidRDefault="00420ED8" w:rsidP="005D71E0">
            <w:pPr>
              <w:spacing w:after="0" w:line="240" w:lineRule="auto"/>
              <w:rPr>
                <w:rFonts w:ascii="Calibri" w:hAnsi="Calibri" w:cs="Calibri"/>
                <w:color w:val="000000"/>
              </w:rPr>
            </w:pPr>
            <w:r>
              <w:rPr>
                <w:rFonts w:ascii="Calibri" w:hAnsi="Calibri" w:cs="Calibri"/>
                <w:color w:val="000000"/>
              </w:rPr>
              <w:t>Bridgepoint</w:t>
            </w:r>
          </w:p>
        </w:tc>
        <w:tc>
          <w:tcPr>
            <w:tcW w:w="709" w:type="dxa"/>
            <w:shd w:val="clear" w:color="DDEBF7" w:fill="DDEBF7"/>
            <w:noWrap/>
            <w:vAlign w:val="center"/>
            <w:hideMark/>
          </w:tcPr>
          <w:p w14:paraId="7FB0FC5D"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72%</w:t>
            </w:r>
          </w:p>
        </w:tc>
        <w:tc>
          <w:tcPr>
            <w:tcW w:w="709" w:type="dxa"/>
            <w:shd w:val="clear" w:color="DDEBF7" w:fill="DDEBF7"/>
            <w:noWrap/>
            <w:vAlign w:val="center"/>
            <w:hideMark/>
          </w:tcPr>
          <w:p w14:paraId="43CE8162"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79%</w:t>
            </w:r>
          </w:p>
        </w:tc>
        <w:tc>
          <w:tcPr>
            <w:tcW w:w="708" w:type="dxa"/>
            <w:shd w:val="clear" w:color="DDEBF7" w:fill="DDEBF7"/>
            <w:noWrap/>
            <w:vAlign w:val="center"/>
            <w:hideMark/>
          </w:tcPr>
          <w:p w14:paraId="64466158"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81%</w:t>
            </w:r>
          </w:p>
        </w:tc>
        <w:tc>
          <w:tcPr>
            <w:tcW w:w="851" w:type="dxa"/>
            <w:shd w:val="clear" w:color="auto" w:fill="DEEAF6" w:themeFill="accent1" w:themeFillTint="33"/>
            <w:noWrap/>
            <w:vAlign w:val="center"/>
            <w:hideMark/>
          </w:tcPr>
          <w:p w14:paraId="7B115783"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78%</w:t>
            </w:r>
          </w:p>
        </w:tc>
        <w:tc>
          <w:tcPr>
            <w:tcW w:w="1701" w:type="dxa"/>
            <w:shd w:val="clear" w:color="DDEBF7" w:fill="DDEBF7"/>
            <w:noWrap/>
            <w:vAlign w:val="center"/>
            <w:hideMark/>
          </w:tcPr>
          <w:p w14:paraId="63574808"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-3%</w:t>
            </w:r>
          </w:p>
        </w:tc>
        <w:tc>
          <w:tcPr>
            <w:tcW w:w="1017" w:type="dxa"/>
            <w:shd w:val="clear" w:color="auto" w:fill="D9E2F3" w:themeFill="accent5" w:themeFillTint="33"/>
            <w:noWrap/>
            <w:vAlign w:val="center"/>
            <w:hideMark/>
          </w:tcPr>
          <w:p w14:paraId="26733619"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6%</w:t>
            </w:r>
          </w:p>
        </w:tc>
      </w:tr>
      <w:tr w:rsidR="00420ED8" w:rsidRPr="007653CA" w14:paraId="3D51AAB5" w14:textId="77777777" w:rsidTr="00352A2B">
        <w:trPr>
          <w:trHeight w:val="300"/>
        </w:trPr>
        <w:tc>
          <w:tcPr>
            <w:tcW w:w="3539" w:type="dxa"/>
            <w:shd w:val="clear" w:color="auto" w:fill="auto"/>
            <w:noWrap/>
            <w:vAlign w:val="center"/>
            <w:hideMark/>
          </w:tcPr>
          <w:p w14:paraId="6AAE6BDE" w14:textId="77777777" w:rsidR="00420ED8" w:rsidRDefault="00420ED8" w:rsidP="005D71E0">
            <w:pPr>
              <w:spacing w:after="0" w:line="240" w:lineRule="auto"/>
              <w:rPr>
                <w:rFonts w:ascii="Calibri" w:hAnsi="Calibri" w:cs="Calibri"/>
                <w:color w:val="000000"/>
              </w:rPr>
            </w:pPr>
            <w:r>
              <w:rPr>
                <w:rFonts w:ascii="Calibri" w:hAnsi="Calibri" w:cs="Calibri"/>
                <w:color w:val="000000"/>
              </w:rPr>
              <w:t>Building Construction</w:t>
            </w:r>
          </w:p>
        </w:tc>
        <w:tc>
          <w:tcPr>
            <w:tcW w:w="709" w:type="dxa"/>
            <w:shd w:val="clear" w:color="auto" w:fill="auto"/>
            <w:noWrap/>
            <w:vAlign w:val="center"/>
            <w:hideMark/>
          </w:tcPr>
          <w:p w14:paraId="406D1EFB"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91%</w:t>
            </w:r>
          </w:p>
        </w:tc>
        <w:tc>
          <w:tcPr>
            <w:tcW w:w="709" w:type="dxa"/>
            <w:shd w:val="clear" w:color="auto" w:fill="auto"/>
            <w:noWrap/>
            <w:vAlign w:val="center"/>
            <w:hideMark/>
          </w:tcPr>
          <w:p w14:paraId="354A5C46"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84%</w:t>
            </w:r>
          </w:p>
        </w:tc>
        <w:tc>
          <w:tcPr>
            <w:tcW w:w="708" w:type="dxa"/>
            <w:shd w:val="clear" w:color="auto" w:fill="auto"/>
            <w:noWrap/>
            <w:vAlign w:val="center"/>
            <w:hideMark/>
          </w:tcPr>
          <w:p w14:paraId="00C2C226"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74%</w:t>
            </w:r>
          </w:p>
        </w:tc>
        <w:tc>
          <w:tcPr>
            <w:tcW w:w="851" w:type="dxa"/>
            <w:shd w:val="clear" w:color="auto" w:fill="auto"/>
            <w:noWrap/>
            <w:vAlign w:val="center"/>
            <w:hideMark/>
          </w:tcPr>
          <w:p w14:paraId="4A9EE1AE"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80%</w:t>
            </w:r>
          </w:p>
        </w:tc>
        <w:tc>
          <w:tcPr>
            <w:tcW w:w="1701" w:type="dxa"/>
            <w:shd w:val="clear" w:color="auto" w:fill="auto"/>
            <w:noWrap/>
            <w:vAlign w:val="center"/>
            <w:hideMark/>
          </w:tcPr>
          <w:p w14:paraId="4C449AB1"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6%</w:t>
            </w:r>
          </w:p>
        </w:tc>
        <w:tc>
          <w:tcPr>
            <w:tcW w:w="1017" w:type="dxa"/>
            <w:shd w:val="clear" w:color="auto" w:fill="auto"/>
            <w:noWrap/>
            <w:vAlign w:val="center"/>
            <w:hideMark/>
          </w:tcPr>
          <w:p w14:paraId="7EEF4C5E"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-11%</w:t>
            </w:r>
          </w:p>
        </w:tc>
      </w:tr>
      <w:tr w:rsidR="00420ED8" w:rsidRPr="007653CA" w14:paraId="1AD254A9" w14:textId="77777777" w:rsidTr="00352A2B">
        <w:trPr>
          <w:trHeight w:val="300"/>
        </w:trPr>
        <w:tc>
          <w:tcPr>
            <w:tcW w:w="3539" w:type="dxa"/>
            <w:shd w:val="clear" w:color="DDEBF7" w:fill="DDEBF7"/>
            <w:noWrap/>
            <w:vAlign w:val="center"/>
            <w:hideMark/>
          </w:tcPr>
          <w:p w14:paraId="010EC5A3" w14:textId="77777777" w:rsidR="00420ED8" w:rsidRDefault="00420ED8" w:rsidP="005D71E0">
            <w:pPr>
              <w:spacing w:after="0" w:line="240" w:lineRule="auto"/>
              <w:rPr>
                <w:rFonts w:ascii="Calibri" w:hAnsi="Calibri" w:cs="Calibri"/>
                <w:color w:val="000000"/>
              </w:rPr>
            </w:pPr>
            <w:r>
              <w:rPr>
                <w:rFonts w:ascii="Calibri" w:hAnsi="Calibri" w:cs="Calibri"/>
                <w:color w:val="000000"/>
              </w:rPr>
              <w:t>Community Studies</w:t>
            </w:r>
          </w:p>
        </w:tc>
        <w:tc>
          <w:tcPr>
            <w:tcW w:w="709" w:type="dxa"/>
            <w:shd w:val="clear" w:color="DDEBF7" w:fill="DDEBF7"/>
            <w:noWrap/>
            <w:vAlign w:val="center"/>
            <w:hideMark/>
          </w:tcPr>
          <w:p w14:paraId="2EC0B690"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93%</w:t>
            </w:r>
          </w:p>
        </w:tc>
        <w:tc>
          <w:tcPr>
            <w:tcW w:w="709" w:type="dxa"/>
            <w:shd w:val="clear" w:color="DDEBF7" w:fill="DDEBF7"/>
            <w:noWrap/>
            <w:vAlign w:val="center"/>
            <w:hideMark/>
          </w:tcPr>
          <w:p w14:paraId="32287C92"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83%</w:t>
            </w:r>
          </w:p>
        </w:tc>
        <w:tc>
          <w:tcPr>
            <w:tcW w:w="708" w:type="dxa"/>
            <w:shd w:val="clear" w:color="DDEBF7" w:fill="DDEBF7"/>
            <w:noWrap/>
            <w:vAlign w:val="center"/>
            <w:hideMark/>
          </w:tcPr>
          <w:p w14:paraId="563FAC3D"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91%</w:t>
            </w:r>
          </w:p>
        </w:tc>
        <w:tc>
          <w:tcPr>
            <w:tcW w:w="851" w:type="dxa"/>
            <w:shd w:val="clear" w:color="DDEBF7" w:fill="DDEBF7"/>
            <w:noWrap/>
            <w:vAlign w:val="center"/>
            <w:hideMark/>
          </w:tcPr>
          <w:p w14:paraId="63BF9562"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95%</w:t>
            </w:r>
          </w:p>
        </w:tc>
        <w:tc>
          <w:tcPr>
            <w:tcW w:w="1701" w:type="dxa"/>
            <w:shd w:val="clear" w:color="DDEBF7" w:fill="DDEBF7"/>
            <w:noWrap/>
            <w:vAlign w:val="center"/>
            <w:hideMark/>
          </w:tcPr>
          <w:p w14:paraId="47D2C471"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4%</w:t>
            </w:r>
          </w:p>
        </w:tc>
        <w:tc>
          <w:tcPr>
            <w:tcW w:w="1017" w:type="dxa"/>
            <w:shd w:val="clear" w:color="DDEBF7" w:fill="DDEBF7"/>
            <w:noWrap/>
            <w:vAlign w:val="center"/>
            <w:hideMark/>
          </w:tcPr>
          <w:p w14:paraId="7BC6F5D8"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2%</w:t>
            </w:r>
          </w:p>
        </w:tc>
      </w:tr>
      <w:tr w:rsidR="00420ED8" w:rsidRPr="007653CA" w14:paraId="66861B50" w14:textId="77777777" w:rsidTr="00352A2B">
        <w:trPr>
          <w:trHeight w:val="300"/>
        </w:trPr>
        <w:tc>
          <w:tcPr>
            <w:tcW w:w="3539" w:type="dxa"/>
            <w:shd w:val="clear" w:color="auto" w:fill="auto"/>
            <w:noWrap/>
            <w:vAlign w:val="center"/>
            <w:hideMark/>
          </w:tcPr>
          <w:p w14:paraId="12068E2C" w14:textId="77777777" w:rsidR="00420ED8" w:rsidRDefault="00420ED8" w:rsidP="005D71E0">
            <w:pPr>
              <w:spacing w:after="0" w:line="240" w:lineRule="auto"/>
              <w:rPr>
                <w:rFonts w:ascii="Calibri" w:hAnsi="Calibri" w:cs="Calibri"/>
                <w:color w:val="000000"/>
              </w:rPr>
            </w:pPr>
            <w:r>
              <w:rPr>
                <w:rFonts w:ascii="Calibri" w:hAnsi="Calibri" w:cs="Calibri"/>
                <w:color w:val="000000"/>
              </w:rPr>
              <w:t>Computing &amp; Information Technology</w:t>
            </w:r>
          </w:p>
        </w:tc>
        <w:tc>
          <w:tcPr>
            <w:tcW w:w="709" w:type="dxa"/>
            <w:shd w:val="clear" w:color="auto" w:fill="auto"/>
            <w:noWrap/>
            <w:vAlign w:val="center"/>
            <w:hideMark/>
          </w:tcPr>
          <w:p w14:paraId="2088D8FF"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73%</w:t>
            </w:r>
          </w:p>
        </w:tc>
        <w:tc>
          <w:tcPr>
            <w:tcW w:w="709" w:type="dxa"/>
            <w:shd w:val="clear" w:color="auto" w:fill="auto"/>
            <w:noWrap/>
            <w:vAlign w:val="center"/>
            <w:hideMark/>
          </w:tcPr>
          <w:p w14:paraId="3CF96C27"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68%</w:t>
            </w:r>
          </w:p>
        </w:tc>
        <w:tc>
          <w:tcPr>
            <w:tcW w:w="708" w:type="dxa"/>
            <w:shd w:val="clear" w:color="auto" w:fill="auto"/>
            <w:noWrap/>
            <w:vAlign w:val="center"/>
            <w:hideMark/>
          </w:tcPr>
          <w:p w14:paraId="47B6F2E1"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61%</w:t>
            </w:r>
          </w:p>
        </w:tc>
        <w:tc>
          <w:tcPr>
            <w:tcW w:w="851" w:type="dxa"/>
            <w:shd w:val="clear" w:color="auto" w:fill="auto"/>
            <w:noWrap/>
            <w:vAlign w:val="center"/>
            <w:hideMark/>
          </w:tcPr>
          <w:p w14:paraId="50906BFE"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64%</w:t>
            </w:r>
          </w:p>
        </w:tc>
        <w:tc>
          <w:tcPr>
            <w:tcW w:w="1701" w:type="dxa"/>
            <w:shd w:val="clear" w:color="auto" w:fill="auto"/>
            <w:noWrap/>
            <w:vAlign w:val="center"/>
            <w:hideMark/>
          </w:tcPr>
          <w:p w14:paraId="4F8BC956"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3%</w:t>
            </w:r>
          </w:p>
        </w:tc>
        <w:tc>
          <w:tcPr>
            <w:tcW w:w="1017" w:type="dxa"/>
            <w:shd w:val="clear" w:color="auto" w:fill="auto"/>
            <w:noWrap/>
            <w:vAlign w:val="center"/>
            <w:hideMark/>
          </w:tcPr>
          <w:p w14:paraId="40B7CED2"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-9%</w:t>
            </w:r>
          </w:p>
        </w:tc>
      </w:tr>
      <w:tr w:rsidR="00420ED8" w:rsidRPr="007653CA" w14:paraId="46B159C0" w14:textId="77777777" w:rsidTr="00352A2B">
        <w:trPr>
          <w:trHeight w:val="300"/>
        </w:trPr>
        <w:tc>
          <w:tcPr>
            <w:tcW w:w="3539" w:type="dxa"/>
            <w:shd w:val="clear" w:color="DDEBF7" w:fill="DDEBF7"/>
            <w:noWrap/>
            <w:vAlign w:val="center"/>
            <w:hideMark/>
          </w:tcPr>
          <w:p w14:paraId="41D2C1C6" w14:textId="77777777" w:rsidR="00420ED8" w:rsidRDefault="00420ED8" w:rsidP="005D71E0">
            <w:pPr>
              <w:spacing w:after="0" w:line="240" w:lineRule="auto"/>
              <w:rPr>
                <w:rFonts w:ascii="Calibri" w:hAnsi="Calibri" w:cs="Calibri"/>
                <w:color w:val="000000"/>
              </w:rPr>
            </w:pPr>
            <w:r>
              <w:rPr>
                <w:rFonts w:ascii="Calibri" w:hAnsi="Calibri" w:cs="Calibri"/>
                <w:color w:val="000000"/>
              </w:rPr>
              <w:t>Creative Industries</w:t>
            </w:r>
          </w:p>
        </w:tc>
        <w:tc>
          <w:tcPr>
            <w:tcW w:w="709" w:type="dxa"/>
            <w:shd w:val="clear" w:color="DDEBF7" w:fill="DDEBF7"/>
            <w:noWrap/>
            <w:vAlign w:val="center"/>
            <w:hideMark/>
          </w:tcPr>
          <w:p w14:paraId="4D60B07B"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75%</w:t>
            </w:r>
          </w:p>
        </w:tc>
        <w:tc>
          <w:tcPr>
            <w:tcW w:w="709" w:type="dxa"/>
            <w:shd w:val="clear" w:color="DDEBF7" w:fill="DDEBF7"/>
            <w:noWrap/>
            <w:vAlign w:val="center"/>
            <w:hideMark/>
          </w:tcPr>
          <w:p w14:paraId="115F3993"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81%</w:t>
            </w:r>
          </w:p>
        </w:tc>
        <w:tc>
          <w:tcPr>
            <w:tcW w:w="708" w:type="dxa"/>
            <w:shd w:val="clear" w:color="DDEBF7" w:fill="DDEBF7"/>
            <w:noWrap/>
            <w:vAlign w:val="center"/>
            <w:hideMark/>
          </w:tcPr>
          <w:p w14:paraId="0D307C8B"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76%</w:t>
            </w:r>
          </w:p>
        </w:tc>
        <w:tc>
          <w:tcPr>
            <w:tcW w:w="851" w:type="dxa"/>
            <w:shd w:val="clear" w:color="auto" w:fill="DEEAF6" w:themeFill="accent1" w:themeFillTint="33"/>
            <w:noWrap/>
            <w:vAlign w:val="center"/>
            <w:hideMark/>
          </w:tcPr>
          <w:p w14:paraId="1826A68F"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72%</w:t>
            </w:r>
          </w:p>
        </w:tc>
        <w:tc>
          <w:tcPr>
            <w:tcW w:w="1701" w:type="dxa"/>
            <w:shd w:val="clear" w:color="DDEBF7" w:fill="DDEBF7"/>
            <w:noWrap/>
            <w:vAlign w:val="center"/>
            <w:hideMark/>
          </w:tcPr>
          <w:p w14:paraId="1DD0690F"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-4%</w:t>
            </w:r>
          </w:p>
        </w:tc>
        <w:tc>
          <w:tcPr>
            <w:tcW w:w="1017" w:type="dxa"/>
            <w:shd w:val="clear" w:color="DDEBF7" w:fill="DDEBF7"/>
            <w:noWrap/>
            <w:vAlign w:val="center"/>
            <w:hideMark/>
          </w:tcPr>
          <w:p w14:paraId="5F5B2543"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-3%</w:t>
            </w:r>
          </w:p>
        </w:tc>
      </w:tr>
      <w:tr w:rsidR="00420ED8" w:rsidRPr="007653CA" w14:paraId="0731BF65" w14:textId="77777777" w:rsidTr="00352A2B">
        <w:trPr>
          <w:trHeight w:val="300"/>
        </w:trPr>
        <w:tc>
          <w:tcPr>
            <w:tcW w:w="3539" w:type="dxa"/>
            <w:shd w:val="clear" w:color="auto" w:fill="auto"/>
            <w:noWrap/>
            <w:vAlign w:val="center"/>
            <w:hideMark/>
          </w:tcPr>
          <w:p w14:paraId="1CCCEF7F" w14:textId="77777777" w:rsidR="00420ED8" w:rsidRDefault="00420ED8" w:rsidP="005D71E0">
            <w:pPr>
              <w:spacing w:after="0" w:line="240" w:lineRule="auto"/>
              <w:rPr>
                <w:rFonts w:ascii="Calibri" w:hAnsi="Calibri" w:cs="Calibri"/>
                <w:color w:val="000000"/>
              </w:rPr>
            </w:pPr>
            <w:r>
              <w:rPr>
                <w:rFonts w:ascii="Calibri" w:hAnsi="Calibri" w:cs="Calibri"/>
                <w:color w:val="000000"/>
              </w:rPr>
              <w:t>Engineering &amp; Applied Technology</w:t>
            </w:r>
          </w:p>
        </w:tc>
        <w:tc>
          <w:tcPr>
            <w:tcW w:w="709" w:type="dxa"/>
            <w:shd w:val="clear" w:color="auto" w:fill="auto"/>
            <w:noWrap/>
            <w:vAlign w:val="center"/>
            <w:hideMark/>
          </w:tcPr>
          <w:p w14:paraId="7D0C9F51"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83%</w:t>
            </w:r>
          </w:p>
        </w:tc>
        <w:tc>
          <w:tcPr>
            <w:tcW w:w="709" w:type="dxa"/>
            <w:shd w:val="clear" w:color="auto" w:fill="auto"/>
            <w:noWrap/>
            <w:vAlign w:val="center"/>
            <w:hideMark/>
          </w:tcPr>
          <w:p w14:paraId="6848F1DD"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83%</w:t>
            </w:r>
          </w:p>
        </w:tc>
        <w:tc>
          <w:tcPr>
            <w:tcW w:w="708" w:type="dxa"/>
            <w:shd w:val="clear" w:color="auto" w:fill="auto"/>
            <w:noWrap/>
            <w:vAlign w:val="center"/>
            <w:hideMark/>
          </w:tcPr>
          <w:p w14:paraId="5173ACD6"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77%</w:t>
            </w:r>
          </w:p>
        </w:tc>
        <w:tc>
          <w:tcPr>
            <w:tcW w:w="851" w:type="dxa"/>
            <w:shd w:val="clear" w:color="auto" w:fill="auto"/>
            <w:noWrap/>
            <w:vAlign w:val="center"/>
            <w:hideMark/>
          </w:tcPr>
          <w:p w14:paraId="5DBA69C1"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75%</w:t>
            </w:r>
          </w:p>
        </w:tc>
        <w:tc>
          <w:tcPr>
            <w:tcW w:w="1701" w:type="dxa"/>
            <w:shd w:val="clear" w:color="auto" w:fill="auto"/>
            <w:noWrap/>
            <w:vAlign w:val="center"/>
            <w:hideMark/>
          </w:tcPr>
          <w:p w14:paraId="5377ED0D"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-2%</w:t>
            </w:r>
          </w:p>
        </w:tc>
        <w:tc>
          <w:tcPr>
            <w:tcW w:w="1017" w:type="dxa"/>
            <w:shd w:val="clear" w:color="auto" w:fill="auto"/>
            <w:noWrap/>
            <w:vAlign w:val="center"/>
            <w:hideMark/>
          </w:tcPr>
          <w:p w14:paraId="3ACDE0B1"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w:t>
            </w:r>
          </w:p>
        </w:tc>
      </w:tr>
      <w:tr w:rsidR="00420ED8" w:rsidRPr="007653CA" w14:paraId="309A8FB2" w14:textId="77777777" w:rsidTr="00352A2B">
        <w:trPr>
          <w:trHeight w:val="300"/>
        </w:trPr>
        <w:tc>
          <w:tcPr>
            <w:tcW w:w="3539" w:type="dxa"/>
            <w:shd w:val="clear" w:color="DDEBF7" w:fill="DDEBF7"/>
            <w:noWrap/>
            <w:vAlign w:val="center"/>
            <w:hideMark/>
          </w:tcPr>
          <w:p w14:paraId="1A88380C" w14:textId="77777777" w:rsidR="00420ED8" w:rsidRDefault="00420ED8" w:rsidP="005D71E0">
            <w:pPr>
              <w:spacing w:after="0" w:line="240" w:lineRule="auto"/>
              <w:rPr>
                <w:rFonts w:ascii="Calibri" w:hAnsi="Calibri" w:cs="Calibri"/>
                <w:color w:val="000000"/>
              </w:rPr>
            </w:pPr>
            <w:r>
              <w:rPr>
                <w:rFonts w:ascii="Calibri" w:hAnsi="Calibri" w:cs="Calibri"/>
                <w:color w:val="000000"/>
              </w:rPr>
              <w:t>Environmental &amp; Animal Sciences</w:t>
            </w:r>
          </w:p>
        </w:tc>
        <w:tc>
          <w:tcPr>
            <w:tcW w:w="709" w:type="dxa"/>
            <w:shd w:val="clear" w:color="DDEBF7" w:fill="DDEBF7"/>
            <w:noWrap/>
            <w:vAlign w:val="center"/>
            <w:hideMark/>
          </w:tcPr>
          <w:p w14:paraId="76DADA3B"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76%</w:t>
            </w:r>
          </w:p>
        </w:tc>
        <w:tc>
          <w:tcPr>
            <w:tcW w:w="709" w:type="dxa"/>
            <w:shd w:val="clear" w:color="DDEBF7" w:fill="DDEBF7"/>
            <w:noWrap/>
            <w:vAlign w:val="center"/>
            <w:hideMark/>
          </w:tcPr>
          <w:p w14:paraId="44F2FA47"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90%</w:t>
            </w:r>
          </w:p>
        </w:tc>
        <w:tc>
          <w:tcPr>
            <w:tcW w:w="708" w:type="dxa"/>
            <w:shd w:val="clear" w:color="DDEBF7" w:fill="DDEBF7"/>
            <w:noWrap/>
            <w:vAlign w:val="center"/>
            <w:hideMark/>
          </w:tcPr>
          <w:p w14:paraId="38783E8D"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90%</w:t>
            </w:r>
          </w:p>
        </w:tc>
        <w:tc>
          <w:tcPr>
            <w:tcW w:w="851" w:type="dxa"/>
            <w:shd w:val="clear" w:color="auto" w:fill="DEEAF6" w:themeFill="accent1" w:themeFillTint="33"/>
            <w:noWrap/>
            <w:vAlign w:val="center"/>
            <w:hideMark/>
          </w:tcPr>
          <w:p w14:paraId="78046902"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86%</w:t>
            </w:r>
          </w:p>
        </w:tc>
        <w:tc>
          <w:tcPr>
            <w:tcW w:w="1701" w:type="dxa"/>
            <w:shd w:val="clear" w:color="DDEBF7" w:fill="DDEBF7"/>
            <w:noWrap/>
            <w:vAlign w:val="center"/>
            <w:hideMark/>
          </w:tcPr>
          <w:p w14:paraId="5C3D5DFF"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-4%</w:t>
            </w:r>
          </w:p>
        </w:tc>
        <w:tc>
          <w:tcPr>
            <w:tcW w:w="1017" w:type="dxa"/>
            <w:shd w:val="clear" w:color="DDEBF7" w:fill="DDEBF7"/>
            <w:noWrap/>
            <w:vAlign w:val="center"/>
            <w:hideMark/>
          </w:tcPr>
          <w:p w14:paraId="394BEB9C"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10%</w:t>
            </w:r>
          </w:p>
        </w:tc>
      </w:tr>
      <w:tr w:rsidR="00420ED8" w:rsidRPr="007653CA" w14:paraId="34D3000A" w14:textId="77777777" w:rsidTr="00352A2B">
        <w:trPr>
          <w:trHeight w:val="300"/>
        </w:trPr>
        <w:tc>
          <w:tcPr>
            <w:tcW w:w="3539" w:type="dxa"/>
            <w:shd w:val="clear" w:color="auto" w:fill="auto"/>
            <w:noWrap/>
            <w:vAlign w:val="center"/>
            <w:hideMark/>
          </w:tcPr>
          <w:p w14:paraId="34877934" w14:textId="77777777" w:rsidR="00420ED8" w:rsidRDefault="00420ED8" w:rsidP="005D71E0">
            <w:pPr>
              <w:spacing w:after="0" w:line="240" w:lineRule="auto"/>
              <w:rPr>
                <w:rFonts w:ascii="Calibri" w:hAnsi="Calibri" w:cs="Calibri"/>
                <w:color w:val="000000"/>
              </w:rPr>
            </w:pPr>
            <w:r>
              <w:rPr>
                <w:rFonts w:ascii="Calibri" w:hAnsi="Calibri" w:cs="Calibri"/>
                <w:color w:val="000000"/>
              </w:rPr>
              <w:t>Healthcare &amp; Social Practice</w:t>
            </w:r>
          </w:p>
        </w:tc>
        <w:tc>
          <w:tcPr>
            <w:tcW w:w="709" w:type="dxa"/>
            <w:shd w:val="clear" w:color="auto" w:fill="auto"/>
            <w:noWrap/>
            <w:vAlign w:val="center"/>
            <w:hideMark/>
          </w:tcPr>
          <w:p w14:paraId="4C419C0D"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96%</w:t>
            </w:r>
          </w:p>
        </w:tc>
        <w:tc>
          <w:tcPr>
            <w:tcW w:w="709" w:type="dxa"/>
            <w:shd w:val="clear" w:color="auto" w:fill="auto"/>
            <w:noWrap/>
            <w:vAlign w:val="center"/>
            <w:hideMark/>
          </w:tcPr>
          <w:p w14:paraId="0C0C889A"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91%</w:t>
            </w:r>
          </w:p>
        </w:tc>
        <w:tc>
          <w:tcPr>
            <w:tcW w:w="708" w:type="dxa"/>
            <w:shd w:val="clear" w:color="auto" w:fill="auto"/>
            <w:noWrap/>
            <w:vAlign w:val="center"/>
            <w:hideMark/>
          </w:tcPr>
          <w:p w14:paraId="57E1224F"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100%</w:t>
            </w:r>
          </w:p>
        </w:tc>
        <w:tc>
          <w:tcPr>
            <w:tcW w:w="851" w:type="dxa"/>
            <w:shd w:val="clear" w:color="auto" w:fill="auto"/>
            <w:noWrap/>
            <w:vAlign w:val="center"/>
            <w:hideMark/>
          </w:tcPr>
          <w:p w14:paraId="72EE0A89"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88%</w:t>
            </w:r>
          </w:p>
        </w:tc>
        <w:tc>
          <w:tcPr>
            <w:tcW w:w="1701" w:type="dxa"/>
            <w:shd w:val="clear" w:color="auto" w:fill="auto"/>
            <w:noWrap/>
            <w:vAlign w:val="center"/>
            <w:hideMark/>
          </w:tcPr>
          <w:p w14:paraId="311721CE"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-12%</w:t>
            </w:r>
          </w:p>
        </w:tc>
        <w:tc>
          <w:tcPr>
            <w:tcW w:w="1017" w:type="dxa"/>
            <w:shd w:val="clear" w:color="auto" w:fill="auto"/>
            <w:noWrap/>
            <w:vAlign w:val="center"/>
            <w:hideMark/>
          </w:tcPr>
          <w:p w14:paraId="5F78B560"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w:t>
            </w:r>
          </w:p>
        </w:tc>
      </w:tr>
      <w:tr w:rsidR="00420ED8" w:rsidRPr="007653CA" w14:paraId="7DAD903E" w14:textId="77777777" w:rsidTr="00352A2B">
        <w:trPr>
          <w:trHeight w:val="300"/>
        </w:trPr>
        <w:tc>
          <w:tcPr>
            <w:tcW w:w="3539" w:type="dxa"/>
            <w:shd w:val="clear" w:color="DDEBF7" w:fill="DDEBF7"/>
            <w:noWrap/>
            <w:vAlign w:val="center"/>
            <w:hideMark/>
          </w:tcPr>
          <w:p w14:paraId="1DB54325" w14:textId="77777777" w:rsidR="00420ED8" w:rsidRDefault="00420ED8" w:rsidP="005D71E0">
            <w:pPr>
              <w:spacing w:after="0" w:line="240" w:lineRule="auto"/>
              <w:rPr>
                <w:rFonts w:ascii="Calibri" w:hAnsi="Calibri" w:cs="Calibri"/>
                <w:color w:val="000000"/>
              </w:rPr>
            </w:pPr>
            <w:r>
              <w:rPr>
                <w:rFonts w:ascii="Calibri" w:hAnsi="Calibri" w:cs="Calibri"/>
                <w:color w:val="000000"/>
              </w:rPr>
              <w:t>Trades &amp; Services</w:t>
            </w:r>
          </w:p>
        </w:tc>
        <w:tc>
          <w:tcPr>
            <w:tcW w:w="709" w:type="dxa"/>
            <w:shd w:val="clear" w:color="DDEBF7" w:fill="DDEBF7"/>
            <w:noWrap/>
            <w:vAlign w:val="center"/>
            <w:hideMark/>
          </w:tcPr>
          <w:p w14:paraId="4DDDAF2B"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95%</w:t>
            </w:r>
          </w:p>
        </w:tc>
        <w:tc>
          <w:tcPr>
            <w:tcW w:w="709" w:type="dxa"/>
            <w:shd w:val="clear" w:color="DDEBF7" w:fill="DDEBF7"/>
            <w:noWrap/>
            <w:vAlign w:val="center"/>
            <w:hideMark/>
          </w:tcPr>
          <w:p w14:paraId="4C95DE76"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83%</w:t>
            </w:r>
          </w:p>
        </w:tc>
        <w:tc>
          <w:tcPr>
            <w:tcW w:w="708" w:type="dxa"/>
            <w:shd w:val="clear" w:color="DDEBF7" w:fill="DDEBF7"/>
            <w:noWrap/>
            <w:vAlign w:val="center"/>
            <w:hideMark/>
          </w:tcPr>
          <w:p w14:paraId="2C84268A"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82%</w:t>
            </w:r>
          </w:p>
        </w:tc>
        <w:tc>
          <w:tcPr>
            <w:tcW w:w="851" w:type="dxa"/>
            <w:shd w:val="clear" w:color="auto" w:fill="DEEAF6" w:themeFill="accent1" w:themeFillTint="33"/>
            <w:noWrap/>
            <w:vAlign w:val="center"/>
            <w:hideMark/>
          </w:tcPr>
          <w:p w14:paraId="64C75585"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77%</w:t>
            </w:r>
          </w:p>
        </w:tc>
        <w:tc>
          <w:tcPr>
            <w:tcW w:w="1701" w:type="dxa"/>
            <w:shd w:val="clear" w:color="DDEBF7" w:fill="DDEBF7"/>
            <w:noWrap/>
            <w:vAlign w:val="center"/>
            <w:hideMark/>
          </w:tcPr>
          <w:p w14:paraId="4E28C3E7"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-5%</w:t>
            </w:r>
          </w:p>
        </w:tc>
        <w:tc>
          <w:tcPr>
            <w:tcW w:w="1017" w:type="dxa"/>
            <w:shd w:val="clear" w:color="DDEBF7" w:fill="DDEBF7"/>
            <w:noWrap/>
            <w:vAlign w:val="center"/>
            <w:hideMark/>
          </w:tcPr>
          <w:p w14:paraId="0CF0670A" w14:textId="77777777" w:rsidR="00420ED8" w:rsidRDefault="00420ED8" w:rsidP="005D71E0">
            <w:pPr>
              <w:spacing w:after="0" w:line="240" w:lineRule="auto"/>
              <w:jc w:val="center"/>
              <w:rPr>
                <w:rFonts w:ascii="Calibri" w:hAnsi="Calibri" w:cs="Calibri"/>
                <w:color w:val="000000"/>
              </w:rPr>
            </w:pPr>
            <w:r>
              <w:rPr>
                <w:rFonts w:ascii="Calibri" w:hAnsi="Calibri" w:cs="Calibri"/>
                <w:color w:val="000000"/>
              </w:rPr>
              <w:t>-18%</w:t>
            </w:r>
          </w:p>
        </w:tc>
      </w:tr>
      <w:tr w:rsidR="00420ED8" w:rsidRPr="007653CA" w14:paraId="25D5B1D7" w14:textId="77777777" w:rsidTr="00352A2B">
        <w:trPr>
          <w:trHeight w:val="173"/>
        </w:trPr>
        <w:tc>
          <w:tcPr>
            <w:tcW w:w="3539" w:type="dxa"/>
            <w:shd w:val="clear" w:color="auto" w:fill="auto"/>
            <w:noWrap/>
            <w:vAlign w:val="center"/>
            <w:hideMark/>
          </w:tcPr>
          <w:p w14:paraId="0683A1C6" w14:textId="77777777" w:rsidR="00420ED8" w:rsidRPr="006E555F" w:rsidRDefault="00420ED8" w:rsidP="005D71E0">
            <w:pPr>
              <w:spacing w:after="0" w:line="240" w:lineRule="auto"/>
              <w:rPr>
                <w:rFonts w:ascii="Calibri" w:hAnsi="Calibri" w:cs="Calibri"/>
                <w:b/>
                <w:color w:val="000000"/>
              </w:rPr>
            </w:pPr>
            <w:r w:rsidRPr="006E555F">
              <w:rPr>
                <w:rFonts w:ascii="Calibri" w:hAnsi="Calibri" w:cs="Calibri"/>
                <w:b/>
                <w:color w:val="000000"/>
              </w:rPr>
              <w:t>Total Unitec Under 25yrs</w:t>
            </w:r>
          </w:p>
        </w:tc>
        <w:tc>
          <w:tcPr>
            <w:tcW w:w="709" w:type="dxa"/>
            <w:shd w:val="clear" w:color="auto" w:fill="auto"/>
            <w:noWrap/>
            <w:vAlign w:val="center"/>
            <w:hideMark/>
          </w:tcPr>
          <w:p w14:paraId="02E1D72A" w14:textId="77777777" w:rsidR="00420ED8" w:rsidRPr="006E555F" w:rsidRDefault="00420ED8" w:rsidP="005D71E0">
            <w:pPr>
              <w:spacing w:after="0" w:line="240" w:lineRule="auto"/>
              <w:jc w:val="center"/>
              <w:rPr>
                <w:rFonts w:ascii="Calibri" w:hAnsi="Calibri" w:cs="Calibri"/>
                <w:b/>
                <w:color w:val="000000"/>
              </w:rPr>
            </w:pPr>
            <w:r w:rsidRPr="006E555F">
              <w:rPr>
                <w:rFonts w:ascii="Calibri" w:hAnsi="Calibri" w:cs="Calibri"/>
                <w:b/>
                <w:color w:val="000000"/>
              </w:rPr>
              <w:t>83%</w:t>
            </w:r>
          </w:p>
        </w:tc>
        <w:tc>
          <w:tcPr>
            <w:tcW w:w="709" w:type="dxa"/>
            <w:shd w:val="clear" w:color="auto" w:fill="auto"/>
            <w:noWrap/>
            <w:vAlign w:val="center"/>
            <w:hideMark/>
          </w:tcPr>
          <w:p w14:paraId="2D081C82" w14:textId="77777777" w:rsidR="00420ED8" w:rsidRPr="006E555F" w:rsidRDefault="00420ED8" w:rsidP="005D71E0">
            <w:pPr>
              <w:spacing w:after="0" w:line="240" w:lineRule="auto"/>
              <w:jc w:val="center"/>
              <w:rPr>
                <w:rFonts w:ascii="Calibri" w:hAnsi="Calibri" w:cs="Calibri"/>
                <w:b/>
                <w:color w:val="000000"/>
              </w:rPr>
            </w:pPr>
            <w:r w:rsidRPr="006E555F">
              <w:rPr>
                <w:rFonts w:ascii="Calibri" w:hAnsi="Calibri" w:cs="Calibri"/>
                <w:b/>
                <w:color w:val="000000"/>
              </w:rPr>
              <w:t>81%</w:t>
            </w:r>
          </w:p>
        </w:tc>
        <w:tc>
          <w:tcPr>
            <w:tcW w:w="708" w:type="dxa"/>
            <w:shd w:val="clear" w:color="auto" w:fill="auto"/>
            <w:noWrap/>
            <w:vAlign w:val="center"/>
            <w:hideMark/>
          </w:tcPr>
          <w:p w14:paraId="2B3A6E30" w14:textId="77777777" w:rsidR="00420ED8" w:rsidRPr="006E555F" w:rsidRDefault="00420ED8" w:rsidP="005D71E0">
            <w:pPr>
              <w:spacing w:after="0" w:line="240" w:lineRule="auto"/>
              <w:jc w:val="center"/>
              <w:rPr>
                <w:rFonts w:ascii="Calibri" w:hAnsi="Calibri" w:cs="Calibri"/>
                <w:b/>
                <w:color w:val="000000"/>
              </w:rPr>
            </w:pPr>
            <w:r w:rsidRPr="006E555F">
              <w:rPr>
                <w:rFonts w:ascii="Calibri" w:hAnsi="Calibri" w:cs="Calibri"/>
                <w:b/>
                <w:color w:val="000000"/>
              </w:rPr>
              <w:t>80%</w:t>
            </w:r>
          </w:p>
        </w:tc>
        <w:tc>
          <w:tcPr>
            <w:tcW w:w="851" w:type="dxa"/>
            <w:shd w:val="clear" w:color="auto" w:fill="auto"/>
            <w:noWrap/>
            <w:vAlign w:val="center"/>
            <w:hideMark/>
          </w:tcPr>
          <w:p w14:paraId="7BA1F270" w14:textId="77777777" w:rsidR="00420ED8" w:rsidRPr="006E555F" w:rsidRDefault="00420ED8" w:rsidP="005D71E0">
            <w:pPr>
              <w:spacing w:after="0" w:line="240" w:lineRule="auto"/>
              <w:jc w:val="center"/>
              <w:rPr>
                <w:rFonts w:ascii="Calibri" w:hAnsi="Calibri" w:cs="Calibri"/>
                <w:b/>
                <w:color w:val="000000"/>
              </w:rPr>
            </w:pPr>
            <w:r w:rsidRPr="006E555F">
              <w:rPr>
                <w:rFonts w:ascii="Calibri" w:hAnsi="Calibri" w:cs="Calibri"/>
                <w:b/>
                <w:color w:val="000000"/>
              </w:rPr>
              <w:t>80%</w:t>
            </w:r>
          </w:p>
        </w:tc>
        <w:tc>
          <w:tcPr>
            <w:tcW w:w="1701" w:type="dxa"/>
            <w:shd w:val="clear" w:color="auto" w:fill="auto"/>
            <w:noWrap/>
            <w:vAlign w:val="center"/>
            <w:hideMark/>
          </w:tcPr>
          <w:p w14:paraId="0EDEAC13" w14:textId="77777777" w:rsidR="00420ED8" w:rsidRPr="006E555F" w:rsidRDefault="00420ED8" w:rsidP="005D71E0">
            <w:pPr>
              <w:spacing w:after="0" w:line="240" w:lineRule="auto"/>
              <w:jc w:val="center"/>
              <w:rPr>
                <w:rFonts w:ascii="Calibri" w:hAnsi="Calibri" w:cs="Calibri"/>
                <w:b/>
                <w:color w:val="000000"/>
              </w:rPr>
            </w:pPr>
            <w:r w:rsidRPr="006E555F">
              <w:rPr>
                <w:rFonts w:ascii="Calibri" w:hAnsi="Calibri" w:cs="Calibri"/>
                <w:b/>
                <w:color w:val="000000"/>
              </w:rPr>
              <w:t>0%</w:t>
            </w:r>
          </w:p>
        </w:tc>
        <w:tc>
          <w:tcPr>
            <w:tcW w:w="1017" w:type="dxa"/>
            <w:shd w:val="clear" w:color="auto" w:fill="auto"/>
            <w:noWrap/>
            <w:vAlign w:val="center"/>
            <w:hideMark/>
          </w:tcPr>
          <w:p w14:paraId="0F7C1246" w14:textId="77777777" w:rsidR="00420ED8" w:rsidRPr="006E555F" w:rsidRDefault="00420ED8" w:rsidP="005D71E0">
            <w:pPr>
              <w:spacing w:after="0" w:line="240" w:lineRule="auto"/>
              <w:jc w:val="center"/>
              <w:rPr>
                <w:rFonts w:ascii="Calibri" w:hAnsi="Calibri" w:cs="Calibri"/>
                <w:b/>
                <w:color w:val="000000"/>
              </w:rPr>
            </w:pPr>
            <w:r w:rsidRPr="006E555F">
              <w:rPr>
                <w:rFonts w:ascii="Calibri" w:hAnsi="Calibri" w:cs="Calibri"/>
                <w:b/>
                <w:color w:val="000000"/>
              </w:rPr>
              <w:t>-3%</w:t>
            </w:r>
          </w:p>
        </w:tc>
      </w:tr>
    </w:tbl>
    <w:p w14:paraId="1214579B" w14:textId="77777777" w:rsidR="00420ED8" w:rsidRDefault="00420ED8" w:rsidP="00420ED8"/>
    <w:p w14:paraId="31718843" w14:textId="77777777" w:rsidR="00420ED8" w:rsidRPr="00B93457" w:rsidRDefault="00420ED8" w:rsidP="00420ED8">
      <w:pPr>
        <w:pStyle w:val="Heading2"/>
        <w:rPr>
          <w:lang w:val="mi-NZ"/>
        </w:rPr>
      </w:pPr>
      <w:r>
        <w:t>4.3.4 International</w:t>
      </w:r>
    </w:p>
    <w:p w14:paraId="6B853998" w14:textId="77777777" w:rsidR="00420ED8" w:rsidRDefault="00420ED8" w:rsidP="00420ED8">
      <w:r>
        <w:t xml:space="preserve">International GESC rates continue to decline, falling from 65% to 61% over the last 12 months.  With Domestic rates holding strong at 89%, the variance continues to widen.  </w:t>
      </w:r>
    </w:p>
    <w:p w14:paraId="70FF7274" w14:textId="77777777" w:rsidR="00420ED8" w:rsidRDefault="00420ED8" w:rsidP="00420ED8">
      <w:r w:rsidRPr="00603B22">
        <w:rPr>
          <w:noProof/>
          <w:lang w:eastAsia="en-NZ"/>
        </w:rPr>
        <w:drawing>
          <wp:inline distT="0" distB="0" distL="0" distR="0" wp14:anchorId="410D06CA" wp14:editId="2BCA53D1">
            <wp:extent cx="5515661" cy="2691993"/>
            <wp:effectExtent l="0" t="0" r="8890" b="1333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2D6BE42" w14:textId="77777777" w:rsidR="00420ED8" w:rsidRDefault="00420ED8" w:rsidP="00420ED8">
      <w:r>
        <w:t xml:space="preserve">With only 279 International graduates surveyed in 2019, there is not enough data to provide robust analysis at school or programme level.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786"/>
      </w:tblGrid>
      <w:tr w:rsidR="00352A2B" w:rsidRPr="00352A2B" w14:paraId="4E2FDB3C" w14:textId="77777777" w:rsidTr="00393A8D">
        <w:tc>
          <w:tcPr>
            <w:tcW w:w="7230" w:type="dxa"/>
          </w:tcPr>
          <w:p w14:paraId="534DB607" w14:textId="77777777" w:rsidR="00352A2B" w:rsidRDefault="00352A2B" w:rsidP="004A5B1F">
            <w:pPr>
              <w:rPr>
                <w:b/>
              </w:rPr>
            </w:pPr>
          </w:p>
          <w:p w14:paraId="674D1264" w14:textId="77777777" w:rsidR="00352A2B" w:rsidRDefault="00352A2B" w:rsidP="004A5B1F">
            <w:pPr>
              <w:rPr>
                <w:b/>
              </w:rPr>
            </w:pPr>
          </w:p>
          <w:p w14:paraId="12C77D18" w14:textId="77777777" w:rsidR="00352A2B" w:rsidRPr="00393A8D" w:rsidRDefault="00352A2B" w:rsidP="00A871AA">
            <w:pPr>
              <w:rPr>
                <w:b/>
                <w:i/>
              </w:rPr>
            </w:pPr>
            <w:r w:rsidRPr="00393A8D">
              <w:rPr>
                <w:b/>
                <w:i/>
              </w:rPr>
              <w:t xml:space="preserve">Appendix A – Unitec Successful Course Completion Rate EFTS and student headcounts by programme in 2018  </w:t>
            </w:r>
          </w:p>
        </w:tc>
        <w:tc>
          <w:tcPr>
            <w:tcW w:w="1786" w:type="dxa"/>
          </w:tcPr>
          <w:p w14:paraId="0A16B160" w14:textId="77777777" w:rsidR="00352A2B" w:rsidRDefault="00352A2B" w:rsidP="004A5B1F"/>
          <w:p w14:paraId="239F776F" w14:textId="77777777" w:rsidR="00352A2B" w:rsidRDefault="00352A2B" w:rsidP="004A5B1F"/>
          <w:bookmarkStart w:id="1" w:name="_MON_1623658724"/>
          <w:bookmarkEnd w:id="1"/>
          <w:p w14:paraId="37B5A2B5" w14:textId="77777777" w:rsidR="00352A2B" w:rsidRPr="00352A2B" w:rsidRDefault="00352A2B" w:rsidP="004A5B1F">
            <w:pPr>
              <w:rPr>
                <w:b/>
              </w:rPr>
            </w:pPr>
            <w:r>
              <w:object w:dxaOrig="1531" w:dyaOrig="991" w14:anchorId="0BFE4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34" o:title=""/>
                </v:shape>
                <o:OLEObject Type="Embed" ProgID="Word.Document.12" ShapeID="_x0000_i1025" DrawAspect="Icon" ObjectID="_1623721855" r:id="rId35">
                  <o:FieldCodes>\s</o:FieldCodes>
                </o:OLEObject>
              </w:object>
            </w:r>
          </w:p>
        </w:tc>
      </w:tr>
    </w:tbl>
    <w:p w14:paraId="1CFA72B4" w14:textId="77777777" w:rsidR="00E5081C" w:rsidRDefault="00E5081C" w:rsidP="004932AA"/>
    <w:sectPr w:rsidR="00E5081C" w:rsidSect="004932AA">
      <w:footerReference w:type="default" r:id="rId3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37D7B" w14:textId="77777777" w:rsidR="00BA276B" w:rsidRDefault="00BA276B" w:rsidP="006F2AE6">
      <w:pPr>
        <w:spacing w:after="0" w:line="240" w:lineRule="auto"/>
      </w:pPr>
      <w:r>
        <w:separator/>
      </w:r>
    </w:p>
  </w:endnote>
  <w:endnote w:type="continuationSeparator" w:id="0">
    <w:p w14:paraId="65CA5043" w14:textId="77777777" w:rsidR="00BA276B" w:rsidRDefault="00BA276B" w:rsidP="006F2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0000000000000000000"/>
    <w:charset w:val="86"/>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C7DD" w14:textId="4F062D3F" w:rsidR="004925E6" w:rsidRPr="004925E6" w:rsidRDefault="004925E6">
    <w:pPr>
      <w:pStyle w:val="Footer"/>
      <w:rPr>
        <w:sz w:val="20"/>
        <w:lang w:val="mi-NZ"/>
      </w:rPr>
    </w:pPr>
    <w:r>
      <w:rPr>
        <w:sz w:val="20"/>
        <w:lang w:val="mi-NZ"/>
      </w:rPr>
      <w:t xml:space="preserve">4 </w:t>
    </w:r>
    <w:r w:rsidRPr="004925E6">
      <w:rPr>
        <w:sz w:val="20"/>
        <w:lang w:val="mi-NZ"/>
      </w:rPr>
      <w:t>July 2019</w:t>
    </w:r>
    <w:r>
      <w:rPr>
        <w:sz w:val="20"/>
        <w:lang w:val="mi-NZ"/>
      </w:rPr>
      <w:tab/>
      <w:t>2018 Student Performance Report</w:t>
    </w:r>
    <w:r w:rsidRPr="004925E6">
      <w:rPr>
        <w:sz w:val="20"/>
        <w:lang w:val="mi-NZ"/>
      </w:rPr>
      <w:tab/>
      <w:t xml:space="preserve">Page </w:t>
    </w:r>
    <w:r w:rsidRPr="004925E6">
      <w:rPr>
        <w:bCs/>
        <w:sz w:val="20"/>
        <w:lang w:val="mi-NZ"/>
      </w:rPr>
      <w:fldChar w:fldCharType="begin"/>
    </w:r>
    <w:r w:rsidRPr="004925E6">
      <w:rPr>
        <w:bCs/>
        <w:sz w:val="20"/>
        <w:lang w:val="mi-NZ"/>
      </w:rPr>
      <w:instrText xml:space="preserve"> PAGE  \* Arabic  \* MERGEFORMAT </w:instrText>
    </w:r>
    <w:r w:rsidRPr="004925E6">
      <w:rPr>
        <w:bCs/>
        <w:sz w:val="20"/>
        <w:lang w:val="mi-NZ"/>
      </w:rPr>
      <w:fldChar w:fldCharType="separate"/>
    </w:r>
    <w:r>
      <w:rPr>
        <w:bCs/>
        <w:noProof/>
        <w:sz w:val="20"/>
        <w:lang w:val="mi-NZ"/>
      </w:rPr>
      <w:t>2</w:t>
    </w:r>
    <w:r w:rsidRPr="004925E6">
      <w:rPr>
        <w:bCs/>
        <w:sz w:val="20"/>
        <w:lang w:val="mi-NZ"/>
      </w:rPr>
      <w:fldChar w:fldCharType="end"/>
    </w:r>
    <w:r w:rsidRPr="004925E6">
      <w:rPr>
        <w:sz w:val="20"/>
        <w:lang w:val="mi-NZ"/>
      </w:rPr>
      <w:t xml:space="preserve"> of </w:t>
    </w:r>
    <w:r w:rsidRPr="004925E6">
      <w:rPr>
        <w:bCs/>
        <w:sz w:val="20"/>
        <w:lang w:val="mi-NZ"/>
      </w:rPr>
      <w:fldChar w:fldCharType="begin"/>
    </w:r>
    <w:r w:rsidRPr="004925E6">
      <w:rPr>
        <w:bCs/>
        <w:sz w:val="20"/>
        <w:lang w:val="mi-NZ"/>
      </w:rPr>
      <w:instrText xml:space="preserve"> NUMPAGES  \* Arabic  \* MERGEFORMAT </w:instrText>
    </w:r>
    <w:r w:rsidRPr="004925E6">
      <w:rPr>
        <w:bCs/>
        <w:sz w:val="20"/>
        <w:lang w:val="mi-NZ"/>
      </w:rPr>
      <w:fldChar w:fldCharType="separate"/>
    </w:r>
    <w:r>
      <w:rPr>
        <w:bCs/>
        <w:noProof/>
        <w:sz w:val="20"/>
        <w:lang w:val="mi-NZ"/>
      </w:rPr>
      <w:t>19</w:t>
    </w:r>
    <w:r w:rsidRPr="004925E6">
      <w:rPr>
        <w:bCs/>
        <w:sz w:val="20"/>
        <w:lang w:val="mi-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147066"/>
      <w:docPartObj>
        <w:docPartGallery w:val="Page Numbers (Bottom of Page)"/>
        <w:docPartUnique/>
      </w:docPartObj>
    </w:sdtPr>
    <w:sdtEndPr>
      <w:rPr>
        <w:noProof/>
      </w:rPr>
    </w:sdtEndPr>
    <w:sdtContent>
      <w:p w14:paraId="44FA0262" w14:textId="71519A44" w:rsidR="002A267A" w:rsidRDefault="002A267A">
        <w:pPr>
          <w:pStyle w:val="Footer"/>
          <w:jc w:val="right"/>
        </w:pPr>
        <w:r>
          <w:fldChar w:fldCharType="begin"/>
        </w:r>
        <w:r>
          <w:instrText xml:space="preserve"> PAGE   \* MERGEFORMAT </w:instrText>
        </w:r>
        <w:r>
          <w:fldChar w:fldCharType="separate"/>
        </w:r>
        <w:r w:rsidR="004925E6">
          <w:rPr>
            <w:noProof/>
          </w:rPr>
          <w:t>19</w:t>
        </w:r>
        <w:r>
          <w:rPr>
            <w:noProof/>
          </w:rPr>
          <w:fldChar w:fldCharType="end"/>
        </w:r>
      </w:p>
    </w:sdtContent>
  </w:sdt>
  <w:p w14:paraId="463A33C8" w14:textId="77777777" w:rsidR="002A267A" w:rsidRDefault="002A2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270FE" w14:textId="77777777" w:rsidR="00BA276B" w:rsidRDefault="00BA276B" w:rsidP="006F2AE6">
      <w:pPr>
        <w:spacing w:after="0" w:line="240" w:lineRule="auto"/>
      </w:pPr>
      <w:r>
        <w:separator/>
      </w:r>
    </w:p>
  </w:footnote>
  <w:footnote w:type="continuationSeparator" w:id="0">
    <w:p w14:paraId="59B9FF50" w14:textId="77777777" w:rsidR="00BA276B" w:rsidRDefault="00BA276B" w:rsidP="006F2AE6">
      <w:pPr>
        <w:spacing w:after="0" w:line="240" w:lineRule="auto"/>
      </w:pPr>
      <w:r>
        <w:continuationSeparator/>
      </w:r>
    </w:p>
  </w:footnote>
  <w:footnote w:id="1">
    <w:p w14:paraId="6AD65A6D" w14:textId="77777777" w:rsidR="002A267A" w:rsidRDefault="002A267A" w:rsidP="00420ED8">
      <w:pPr>
        <w:pStyle w:val="FootnoteText"/>
      </w:pPr>
      <w:r w:rsidRPr="00DC110F">
        <w:rPr>
          <w:rStyle w:val="FootnoteReference"/>
        </w:rPr>
        <w:footnoteRef/>
      </w:r>
      <w:r w:rsidRPr="00DC110F">
        <w:t xml:space="preserve"> TEC uses </w:t>
      </w:r>
      <w:r w:rsidRPr="003A3735">
        <w:t xml:space="preserve">a </w:t>
      </w:r>
      <w:r w:rsidRPr="00DD32BE">
        <w:t>2</w:t>
      </w:r>
      <w:r w:rsidRPr="003A3735">
        <w:t xml:space="preserve">-year set time period </w:t>
      </w:r>
      <w:r w:rsidRPr="00DD32BE">
        <w:t xml:space="preserve">for levels 1 to 3, 4-year for levels 4-7 non degree, and 6-year for level 7 (degree) and above </w:t>
      </w:r>
      <w:r w:rsidRPr="003A3735">
        <w:t>to calculate the QC.</w:t>
      </w:r>
      <w:r>
        <w:t xml:space="preserve"> </w:t>
      </w:r>
    </w:p>
    <w:p w14:paraId="3C5800E8" w14:textId="77777777" w:rsidR="002A267A" w:rsidRPr="00DC110F" w:rsidRDefault="002A267A" w:rsidP="00420ED8">
      <w:pPr>
        <w:pStyle w:val="FootnoteText"/>
      </w:pPr>
      <w:r>
        <w:t xml:space="preserve">It is also important to note that Trades &amp; Services is a newly formed School from the Pathways of 2018. This affects performance reporting for this School and Building Construction.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68E"/>
    <w:multiLevelType w:val="hybridMultilevel"/>
    <w:tmpl w:val="B0728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E45933"/>
    <w:multiLevelType w:val="hybridMultilevel"/>
    <w:tmpl w:val="89109ADA"/>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2" w15:restartNumberingAfterBreak="0">
    <w:nsid w:val="096104DD"/>
    <w:multiLevelType w:val="hybridMultilevel"/>
    <w:tmpl w:val="7F045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8000C2"/>
    <w:multiLevelType w:val="hybridMultilevel"/>
    <w:tmpl w:val="709C8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4331A4D"/>
    <w:multiLevelType w:val="hybridMultilevel"/>
    <w:tmpl w:val="8318AB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CC857A0"/>
    <w:multiLevelType w:val="hybridMultilevel"/>
    <w:tmpl w:val="88DA7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8EF2407"/>
    <w:multiLevelType w:val="hybridMultilevel"/>
    <w:tmpl w:val="A7108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9D87AA4"/>
    <w:multiLevelType w:val="hybridMultilevel"/>
    <w:tmpl w:val="808E3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5A692FC0"/>
    <w:multiLevelType w:val="hybridMultilevel"/>
    <w:tmpl w:val="07A6CC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B4F20FD"/>
    <w:multiLevelType w:val="hybridMultilevel"/>
    <w:tmpl w:val="92DA51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4C532A1"/>
    <w:multiLevelType w:val="multilevel"/>
    <w:tmpl w:val="102EFE94"/>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8E61F8F"/>
    <w:multiLevelType w:val="hybridMultilevel"/>
    <w:tmpl w:val="B4A806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B9D28AF"/>
    <w:multiLevelType w:val="hybridMultilevel"/>
    <w:tmpl w:val="0CDCAC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14C3149"/>
    <w:multiLevelType w:val="hybridMultilevel"/>
    <w:tmpl w:val="130286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1"/>
  </w:num>
  <w:num w:numId="5">
    <w:abstractNumId w:val="8"/>
  </w:num>
  <w:num w:numId="6">
    <w:abstractNumId w:val="7"/>
  </w:num>
  <w:num w:numId="7">
    <w:abstractNumId w:val="6"/>
  </w:num>
  <w:num w:numId="8">
    <w:abstractNumId w:val="9"/>
  </w:num>
  <w:num w:numId="9">
    <w:abstractNumId w:val="13"/>
  </w:num>
  <w:num w:numId="10">
    <w:abstractNumId w:val="3"/>
  </w:num>
  <w:num w:numId="11">
    <w:abstractNumId w:val="1"/>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BA"/>
    <w:rsid w:val="000006A2"/>
    <w:rsid w:val="00015D77"/>
    <w:rsid w:val="00024D3B"/>
    <w:rsid w:val="00031C1E"/>
    <w:rsid w:val="00035605"/>
    <w:rsid w:val="00072A5A"/>
    <w:rsid w:val="00080990"/>
    <w:rsid w:val="00080EA2"/>
    <w:rsid w:val="00082BE3"/>
    <w:rsid w:val="00085AAF"/>
    <w:rsid w:val="0009400C"/>
    <w:rsid w:val="000A4A86"/>
    <w:rsid w:val="000B0C27"/>
    <w:rsid w:val="000C61EC"/>
    <w:rsid w:val="000D00C0"/>
    <w:rsid w:val="000D051D"/>
    <w:rsid w:val="000E2480"/>
    <w:rsid w:val="000F3D62"/>
    <w:rsid w:val="001573DE"/>
    <w:rsid w:val="00164808"/>
    <w:rsid w:val="00174492"/>
    <w:rsid w:val="001A1078"/>
    <w:rsid w:val="001A6198"/>
    <w:rsid w:val="001B1F03"/>
    <w:rsid w:val="001C11D9"/>
    <w:rsid w:val="001C512A"/>
    <w:rsid w:val="001C5237"/>
    <w:rsid w:val="001D2255"/>
    <w:rsid w:val="001D6E01"/>
    <w:rsid w:val="001E5958"/>
    <w:rsid w:val="00202C6A"/>
    <w:rsid w:val="0020340D"/>
    <w:rsid w:val="00205268"/>
    <w:rsid w:val="0021249F"/>
    <w:rsid w:val="002130A8"/>
    <w:rsid w:val="002309A5"/>
    <w:rsid w:val="0023316E"/>
    <w:rsid w:val="00240DE2"/>
    <w:rsid w:val="0024694B"/>
    <w:rsid w:val="00247CAB"/>
    <w:rsid w:val="00256185"/>
    <w:rsid w:val="00265F67"/>
    <w:rsid w:val="00284FC4"/>
    <w:rsid w:val="00286B7D"/>
    <w:rsid w:val="00291AA8"/>
    <w:rsid w:val="002A267A"/>
    <w:rsid w:val="002A6796"/>
    <w:rsid w:val="002A71A7"/>
    <w:rsid w:val="002E15AC"/>
    <w:rsid w:val="002E237C"/>
    <w:rsid w:val="002E4E01"/>
    <w:rsid w:val="002E7B02"/>
    <w:rsid w:val="003064E5"/>
    <w:rsid w:val="003100EE"/>
    <w:rsid w:val="00311E55"/>
    <w:rsid w:val="00314644"/>
    <w:rsid w:val="00317B77"/>
    <w:rsid w:val="00321814"/>
    <w:rsid w:val="00334ED4"/>
    <w:rsid w:val="00340BCF"/>
    <w:rsid w:val="0034185B"/>
    <w:rsid w:val="003476AB"/>
    <w:rsid w:val="00352A2B"/>
    <w:rsid w:val="00352ED5"/>
    <w:rsid w:val="00365E92"/>
    <w:rsid w:val="003667FB"/>
    <w:rsid w:val="00367E75"/>
    <w:rsid w:val="00374D5A"/>
    <w:rsid w:val="00375149"/>
    <w:rsid w:val="0038508F"/>
    <w:rsid w:val="00390586"/>
    <w:rsid w:val="00393A8D"/>
    <w:rsid w:val="00395630"/>
    <w:rsid w:val="0039691D"/>
    <w:rsid w:val="003A1B8D"/>
    <w:rsid w:val="003A699E"/>
    <w:rsid w:val="003B3017"/>
    <w:rsid w:val="003B3111"/>
    <w:rsid w:val="003B5605"/>
    <w:rsid w:val="003B6179"/>
    <w:rsid w:val="003B797A"/>
    <w:rsid w:val="003C55F6"/>
    <w:rsid w:val="003C7C16"/>
    <w:rsid w:val="003D571E"/>
    <w:rsid w:val="003E51E8"/>
    <w:rsid w:val="003E68A1"/>
    <w:rsid w:val="003F6C5B"/>
    <w:rsid w:val="00401186"/>
    <w:rsid w:val="00407D56"/>
    <w:rsid w:val="00420ED8"/>
    <w:rsid w:val="0043085C"/>
    <w:rsid w:val="004315DF"/>
    <w:rsid w:val="004452E5"/>
    <w:rsid w:val="00457264"/>
    <w:rsid w:val="0045750B"/>
    <w:rsid w:val="00462C17"/>
    <w:rsid w:val="004872D9"/>
    <w:rsid w:val="0048756F"/>
    <w:rsid w:val="004925E6"/>
    <w:rsid w:val="004932AA"/>
    <w:rsid w:val="00493328"/>
    <w:rsid w:val="004936BB"/>
    <w:rsid w:val="004A0CA8"/>
    <w:rsid w:val="004A5B1F"/>
    <w:rsid w:val="004B10EE"/>
    <w:rsid w:val="004B1B66"/>
    <w:rsid w:val="004B4AB3"/>
    <w:rsid w:val="004C09FB"/>
    <w:rsid w:val="004C2D74"/>
    <w:rsid w:val="004D1B6B"/>
    <w:rsid w:val="004D3D25"/>
    <w:rsid w:val="004D505F"/>
    <w:rsid w:val="004E2AA4"/>
    <w:rsid w:val="004F07A3"/>
    <w:rsid w:val="004F49C5"/>
    <w:rsid w:val="00502E85"/>
    <w:rsid w:val="005101BA"/>
    <w:rsid w:val="00512520"/>
    <w:rsid w:val="005229DC"/>
    <w:rsid w:val="00531309"/>
    <w:rsid w:val="0053217C"/>
    <w:rsid w:val="005325F9"/>
    <w:rsid w:val="005379B4"/>
    <w:rsid w:val="00545ED4"/>
    <w:rsid w:val="005576AB"/>
    <w:rsid w:val="00560F30"/>
    <w:rsid w:val="00590708"/>
    <w:rsid w:val="0059601E"/>
    <w:rsid w:val="005B1F34"/>
    <w:rsid w:val="005D1F03"/>
    <w:rsid w:val="005D51F2"/>
    <w:rsid w:val="005D71E0"/>
    <w:rsid w:val="005E1E5B"/>
    <w:rsid w:val="005E4437"/>
    <w:rsid w:val="005F27E2"/>
    <w:rsid w:val="005F47C3"/>
    <w:rsid w:val="00611DF2"/>
    <w:rsid w:val="0061254A"/>
    <w:rsid w:val="006244B2"/>
    <w:rsid w:val="0063116E"/>
    <w:rsid w:val="00654FF1"/>
    <w:rsid w:val="006665DF"/>
    <w:rsid w:val="0067592E"/>
    <w:rsid w:val="00690F52"/>
    <w:rsid w:val="006A19EE"/>
    <w:rsid w:val="006A645B"/>
    <w:rsid w:val="006B2602"/>
    <w:rsid w:val="006B742A"/>
    <w:rsid w:val="006C33D6"/>
    <w:rsid w:val="006F2AE6"/>
    <w:rsid w:val="006F423B"/>
    <w:rsid w:val="00703182"/>
    <w:rsid w:val="007247F8"/>
    <w:rsid w:val="007345BA"/>
    <w:rsid w:val="00737FC9"/>
    <w:rsid w:val="00743DD1"/>
    <w:rsid w:val="00752A0D"/>
    <w:rsid w:val="0075376A"/>
    <w:rsid w:val="007606DC"/>
    <w:rsid w:val="007653CA"/>
    <w:rsid w:val="007864C7"/>
    <w:rsid w:val="00790842"/>
    <w:rsid w:val="00797D03"/>
    <w:rsid w:val="007A1593"/>
    <w:rsid w:val="007B0107"/>
    <w:rsid w:val="007B51FF"/>
    <w:rsid w:val="007F5345"/>
    <w:rsid w:val="007F697B"/>
    <w:rsid w:val="008131EA"/>
    <w:rsid w:val="008208FF"/>
    <w:rsid w:val="00820C44"/>
    <w:rsid w:val="0082482B"/>
    <w:rsid w:val="00825760"/>
    <w:rsid w:val="008357AE"/>
    <w:rsid w:val="008411C1"/>
    <w:rsid w:val="00844097"/>
    <w:rsid w:val="008501CD"/>
    <w:rsid w:val="008712B2"/>
    <w:rsid w:val="00875AE9"/>
    <w:rsid w:val="00876052"/>
    <w:rsid w:val="0089195A"/>
    <w:rsid w:val="00893E8F"/>
    <w:rsid w:val="008B05E6"/>
    <w:rsid w:val="008B4208"/>
    <w:rsid w:val="008B4767"/>
    <w:rsid w:val="008B47E2"/>
    <w:rsid w:val="008B4E7A"/>
    <w:rsid w:val="008C3AB2"/>
    <w:rsid w:val="008C6364"/>
    <w:rsid w:val="008E6588"/>
    <w:rsid w:val="008F4E92"/>
    <w:rsid w:val="008F7FA8"/>
    <w:rsid w:val="009053EC"/>
    <w:rsid w:val="009159D6"/>
    <w:rsid w:val="009177D4"/>
    <w:rsid w:val="0092649F"/>
    <w:rsid w:val="00926B87"/>
    <w:rsid w:val="00933740"/>
    <w:rsid w:val="009412D0"/>
    <w:rsid w:val="009430AD"/>
    <w:rsid w:val="00943EF0"/>
    <w:rsid w:val="00982013"/>
    <w:rsid w:val="00987CBA"/>
    <w:rsid w:val="009A1745"/>
    <w:rsid w:val="009A42F6"/>
    <w:rsid w:val="009B395B"/>
    <w:rsid w:val="009B60A8"/>
    <w:rsid w:val="009C7E72"/>
    <w:rsid w:val="009E5CBF"/>
    <w:rsid w:val="009F4ADE"/>
    <w:rsid w:val="009F5F28"/>
    <w:rsid w:val="009F7436"/>
    <w:rsid w:val="00A02E9D"/>
    <w:rsid w:val="00A07EF8"/>
    <w:rsid w:val="00A10581"/>
    <w:rsid w:val="00A3557D"/>
    <w:rsid w:val="00A41A64"/>
    <w:rsid w:val="00A47F16"/>
    <w:rsid w:val="00A51E24"/>
    <w:rsid w:val="00A5482B"/>
    <w:rsid w:val="00A6186C"/>
    <w:rsid w:val="00A871AA"/>
    <w:rsid w:val="00AA6A1D"/>
    <w:rsid w:val="00AC27B0"/>
    <w:rsid w:val="00AD0054"/>
    <w:rsid w:val="00AD41E6"/>
    <w:rsid w:val="00AE0825"/>
    <w:rsid w:val="00AE0CD1"/>
    <w:rsid w:val="00AF3B21"/>
    <w:rsid w:val="00B044F8"/>
    <w:rsid w:val="00B13490"/>
    <w:rsid w:val="00B179F4"/>
    <w:rsid w:val="00B3659F"/>
    <w:rsid w:val="00B503AA"/>
    <w:rsid w:val="00B57839"/>
    <w:rsid w:val="00B74D7D"/>
    <w:rsid w:val="00B8083E"/>
    <w:rsid w:val="00B80928"/>
    <w:rsid w:val="00B93457"/>
    <w:rsid w:val="00B94ED1"/>
    <w:rsid w:val="00BA276B"/>
    <w:rsid w:val="00BA3B5D"/>
    <w:rsid w:val="00BA3EE8"/>
    <w:rsid w:val="00BC228E"/>
    <w:rsid w:val="00BD0BC2"/>
    <w:rsid w:val="00BD37F8"/>
    <w:rsid w:val="00BD74B9"/>
    <w:rsid w:val="00BF1CFB"/>
    <w:rsid w:val="00BF7D00"/>
    <w:rsid w:val="00C00336"/>
    <w:rsid w:val="00C10FA8"/>
    <w:rsid w:val="00C1532D"/>
    <w:rsid w:val="00C2234C"/>
    <w:rsid w:val="00C2317D"/>
    <w:rsid w:val="00C24AAC"/>
    <w:rsid w:val="00C306E8"/>
    <w:rsid w:val="00C359A1"/>
    <w:rsid w:val="00C41D8F"/>
    <w:rsid w:val="00C421CA"/>
    <w:rsid w:val="00C4508C"/>
    <w:rsid w:val="00C512F9"/>
    <w:rsid w:val="00C61E97"/>
    <w:rsid w:val="00C6791E"/>
    <w:rsid w:val="00C75420"/>
    <w:rsid w:val="00C91DAD"/>
    <w:rsid w:val="00C978B5"/>
    <w:rsid w:val="00CC1839"/>
    <w:rsid w:val="00CC2389"/>
    <w:rsid w:val="00CC2838"/>
    <w:rsid w:val="00CC56C1"/>
    <w:rsid w:val="00CD4B9B"/>
    <w:rsid w:val="00CE40AD"/>
    <w:rsid w:val="00CE79EA"/>
    <w:rsid w:val="00D06205"/>
    <w:rsid w:val="00D3374F"/>
    <w:rsid w:val="00D4216D"/>
    <w:rsid w:val="00D44209"/>
    <w:rsid w:val="00D50CF9"/>
    <w:rsid w:val="00D56757"/>
    <w:rsid w:val="00D67479"/>
    <w:rsid w:val="00D7098C"/>
    <w:rsid w:val="00D72F2D"/>
    <w:rsid w:val="00D73B1E"/>
    <w:rsid w:val="00D87F9D"/>
    <w:rsid w:val="00D93E75"/>
    <w:rsid w:val="00D947DD"/>
    <w:rsid w:val="00D96C9A"/>
    <w:rsid w:val="00DA69E7"/>
    <w:rsid w:val="00DE09C1"/>
    <w:rsid w:val="00DF670C"/>
    <w:rsid w:val="00E013A5"/>
    <w:rsid w:val="00E06AE0"/>
    <w:rsid w:val="00E22032"/>
    <w:rsid w:val="00E31B60"/>
    <w:rsid w:val="00E32CB8"/>
    <w:rsid w:val="00E350D8"/>
    <w:rsid w:val="00E435D0"/>
    <w:rsid w:val="00E4464E"/>
    <w:rsid w:val="00E5081C"/>
    <w:rsid w:val="00E85DE9"/>
    <w:rsid w:val="00E92DFA"/>
    <w:rsid w:val="00E962AE"/>
    <w:rsid w:val="00E968FC"/>
    <w:rsid w:val="00EA1324"/>
    <w:rsid w:val="00EA2B54"/>
    <w:rsid w:val="00EA3161"/>
    <w:rsid w:val="00EB1F48"/>
    <w:rsid w:val="00EB5842"/>
    <w:rsid w:val="00EB5898"/>
    <w:rsid w:val="00EB7080"/>
    <w:rsid w:val="00EC2C16"/>
    <w:rsid w:val="00EC7CEA"/>
    <w:rsid w:val="00ED72EA"/>
    <w:rsid w:val="00ED7E11"/>
    <w:rsid w:val="00EE3A3E"/>
    <w:rsid w:val="00F03503"/>
    <w:rsid w:val="00F06A55"/>
    <w:rsid w:val="00F34400"/>
    <w:rsid w:val="00F57140"/>
    <w:rsid w:val="00F639E2"/>
    <w:rsid w:val="00F66D57"/>
    <w:rsid w:val="00F77571"/>
    <w:rsid w:val="00F83426"/>
    <w:rsid w:val="00F87339"/>
    <w:rsid w:val="00F96229"/>
    <w:rsid w:val="00FC3767"/>
    <w:rsid w:val="00FC706F"/>
    <w:rsid w:val="00FC73CE"/>
    <w:rsid w:val="00FD08D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3233"/>
  <w15:chartTrackingRefBased/>
  <w15:docId w15:val="{D503FD71-F00D-47E6-99B9-7F16B975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1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01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1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01BA"/>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101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1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101BA"/>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6F2A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AE6"/>
    <w:rPr>
      <w:sz w:val="20"/>
      <w:szCs w:val="20"/>
    </w:rPr>
  </w:style>
  <w:style w:type="character" w:styleId="FootnoteReference">
    <w:name w:val="footnote reference"/>
    <w:basedOn w:val="DefaultParagraphFont"/>
    <w:uiPriority w:val="99"/>
    <w:semiHidden/>
    <w:unhideWhenUsed/>
    <w:rsid w:val="006F2AE6"/>
    <w:rPr>
      <w:vertAlign w:val="superscript"/>
    </w:rPr>
  </w:style>
  <w:style w:type="paragraph" w:styleId="ListParagraph">
    <w:name w:val="List Paragraph"/>
    <w:basedOn w:val="Normal"/>
    <w:uiPriority w:val="34"/>
    <w:qFormat/>
    <w:rsid w:val="00A07EF8"/>
    <w:pPr>
      <w:ind w:left="720"/>
      <w:contextualSpacing/>
    </w:pPr>
  </w:style>
  <w:style w:type="character" w:styleId="CommentReference">
    <w:name w:val="annotation reference"/>
    <w:basedOn w:val="DefaultParagraphFont"/>
    <w:uiPriority w:val="99"/>
    <w:semiHidden/>
    <w:unhideWhenUsed/>
    <w:rsid w:val="0059601E"/>
    <w:rPr>
      <w:sz w:val="16"/>
      <w:szCs w:val="16"/>
    </w:rPr>
  </w:style>
  <w:style w:type="paragraph" w:styleId="CommentText">
    <w:name w:val="annotation text"/>
    <w:basedOn w:val="Normal"/>
    <w:link w:val="CommentTextChar"/>
    <w:uiPriority w:val="99"/>
    <w:semiHidden/>
    <w:unhideWhenUsed/>
    <w:rsid w:val="0059601E"/>
    <w:pPr>
      <w:spacing w:line="240" w:lineRule="auto"/>
    </w:pPr>
    <w:rPr>
      <w:sz w:val="20"/>
      <w:szCs w:val="20"/>
    </w:rPr>
  </w:style>
  <w:style w:type="character" w:customStyle="1" w:styleId="CommentTextChar">
    <w:name w:val="Comment Text Char"/>
    <w:basedOn w:val="DefaultParagraphFont"/>
    <w:link w:val="CommentText"/>
    <w:uiPriority w:val="99"/>
    <w:semiHidden/>
    <w:rsid w:val="0059601E"/>
    <w:rPr>
      <w:sz w:val="20"/>
      <w:szCs w:val="20"/>
    </w:rPr>
  </w:style>
  <w:style w:type="paragraph" w:styleId="BalloonText">
    <w:name w:val="Balloon Text"/>
    <w:basedOn w:val="Normal"/>
    <w:link w:val="BalloonTextChar"/>
    <w:uiPriority w:val="99"/>
    <w:semiHidden/>
    <w:unhideWhenUsed/>
    <w:rsid w:val="00596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01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57AE"/>
    <w:rPr>
      <w:b/>
      <w:bCs/>
    </w:rPr>
  </w:style>
  <w:style w:type="character" w:customStyle="1" w:styleId="CommentSubjectChar">
    <w:name w:val="Comment Subject Char"/>
    <w:basedOn w:val="CommentTextChar"/>
    <w:link w:val="CommentSubject"/>
    <w:uiPriority w:val="99"/>
    <w:semiHidden/>
    <w:rsid w:val="008357AE"/>
    <w:rPr>
      <w:b/>
      <w:bCs/>
      <w:sz w:val="20"/>
      <w:szCs w:val="20"/>
    </w:rPr>
  </w:style>
  <w:style w:type="paragraph" w:styleId="Header">
    <w:name w:val="header"/>
    <w:basedOn w:val="Normal"/>
    <w:link w:val="HeaderChar"/>
    <w:uiPriority w:val="99"/>
    <w:unhideWhenUsed/>
    <w:rsid w:val="001D2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55"/>
  </w:style>
  <w:style w:type="paragraph" w:styleId="Footer">
    <w:name w:val="footer"/>
    <w:basedOn w:val="Normal"/>
    <w:link w:val="FooterChar"/>
    <w:uiPriority w:val="99"/>
    <w:unhideWhenUsed/>
    <w:rsid w:val="001D2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55"/>
  </w:style>
  <w:style w:type="table" w:styleId="TableGrid">
    <w:name w:val="Table Grid"/>
    <w:basedOn w:val="TableNormal"/>
    <w:uiPriority w:val="39"/>
    <w:rsid w:val="008B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5873">
      <w:bodyDiv w:val="1"/>
      <w:marLeft w:val="0"/>
      <w:marRight w:val="0"/>
      <w:marTop w:val="0"/>
      <w:marBottom w:val="0"/>
      <w:divBdr>
        <w:top w:val="none" w:sz="0" w:space="0" w:color="auto"/>
        <w:left w:val="none" w:sz="0" w:space="0" w:color="auto"/>
        <w:bottom w:val="none" w:sz="0" w:space="0" w:color="auto"/>
        <w:right w:val="none" w:sz="0" w:space="0" w:color="auto"/>
      </w:divBdr>
    </w:div>
    <w:div w:id="45036950">
      <w:bodyDiv w:val="1"/>
      <w:marLeft w:val="0"/>
      <w:marRight w:val="0"/>
      <w:marTop w:val="0"/>
      <w:marBottom w:val="0"/>
      <w:divBdr>
        <w:top w:val="none" w:sz="0" w:space="0" w:color="auto"/>
        <w:left w:val="none" w:sz="0" w:space="0" w:color="auto"/>
        <w:bottom w:val="none" w:sz="0" w:space="0" w:color="auto"/>
        <w:right w:val="none" w:sz="0" w:space="0" w:color="auto"/>
      </w:divBdr>
    </w:div>
    <w:div w:id="182474461">
      <w:bodyDiv w:val="1"/>
      <w:marLeft w:val="0"/>
      <w:marRight w:val="0"/>
      <w:marTop w:val="0"/>
      <w:marBottom w:val="0"/>
      <w:divBdr>
        <w:top w:val="none" w:sz="0" w:space="0" w:color="auto"/>
        <w:left w:val="none" w:sz="0" w:space="0" w:color="auto"/>
        <w:bottom w:val="none" w:sz="0" w:space="0" w:color="auto"/>
        <w:right w:val="none" w:sz="0" w:space="0" w:color="auto"/>
      </w:divBdr>
    </w:div>
    <w:div w:id="188836676">
      <w:bodyDiv w:val="1"/>
      <w:marLeft w:val="0"/>
      <w:marRight w:val="0"/>
      <w:marTop w:val="0"/>
      <w:marBottom w:val="0"/>
      <w:divBdr>
        <w:top w:val="none" w:sz="0" w:space="0" w:color="auto"/>
        <w:left w:val="none" w:sz="0" w:space="0" w:color="auto"/>
        <w:bottom w:val="none" w:sz="0" w:space="0" w:color="auto"/>
        <w:right w:val="none" w:sz="0" w:space="0" w:color="auto"/>
      </w:divBdr>
    </w:div>
    <w:div w:id="293099474">
      <w:bodyDiv w:val="1"/>
      <w:marLeft w:val="0"/>
      <w:marRight w:val="0"/>
      <w:marTop w:val="0"/>
      <w:marBottom w:val="0"/>
      <w:divBdr>
        <w:top w:val="none" w:sz="0" w:space="0" w:color="auto"/>
        <w:left w:val="none" w:sz="0" w:space="0" w:color="auto"/>
        <w:bottom w:val="none" w:sz="0" w:space="0" w:color="auto"/>
        <w:right w:val="none" w:sz="0" w:space="0" w:color="auto"/>
      </w:divBdr>
    </w:div>
    <w:div w:id="332729251">
      <w:bodyDiv w:val="1"/>
      <w:marLeft w:val="0"/>
      <w:marRight w:val="0"/>
      <w:marTop w:val="0"/>
      <w:marBottom w:val="0"/>
      <w:divBdr>
        <w:top w:val="none" w:sz="0" w:space="0" w:color="auto"/>
        <w:left w:val="none" w:sz="0" w:space="0" w:color="auto"/>
        <w:bottom w:val="none" w:sz="0" w:space="0" w:color="auto"/>
        <w:right w:val="none" w:sz="0" w:space="0" w:color="auto"/>
      </w:divBdr>
    </w:div>
    <w:div w:id="371654982">
      <w:bodyDiv w:val="1"/>
      <w:marLeft w:val="0"/>
      <w:marRight w:val="0"/>
      <w:marTop w:val="0"/>
      <w:marBottom w:val="0"/>
      <w:divBdr>
        <w:top w:val="none" w:sz="0" w:space="0" w:color="auto"/>
        <w:left w:val="none" w:sz="0" w:space="0" w:color="auto"/>
        <w:bottom w:val="none" w:sz="0" w:space="0" w:color="auto"/>
        <w:right w:val="none" w:sz="0" w:space="0" w:color="auto"/>
      </w:divBdr>
    </w:div>
    <w:div w:id="548494415">
      <w:bodyDiv w:val="1"/>
      <w:marLeft w:val="0"/>
      <w:marRight w:val="0"/>
      <w:marTop w:val="0"/>
      <w:marBottom w:val="0"/>
      <w:divBdr>
        <w:top w:val="none" w:sz="0" w:space="0" w:color="auto"/>
        <w:left w:val="none" w:sz="0" w:space="0" w:color="auto"/>
        <w:bottom w:val="none" w:sz="0" w:space="0" w:color="auto"/>
        <w:right w:val="none" w:sz="0" w:space="0" w:color="auto"/>
      </w:divBdr>
    </w:div>
    <w:div w:id="601496892">
      <w:bodyDiv w:val="1"/>
      <w:marLeft w:val="0"/>
      <w:marRight w:val="0"/>
      <w:marTop w:val="0"/>
      <w:marBottom w:val="0"/>
      <w:divBdr>
        <w:top w:val="none" w:sz="0" w:space="0" w:color="auto"/>
        <w:left w:val="none" w:sz="0" w:space="0" w:color="auto"/>
        <w:bottom w:val="none" w:sz="0" w:space="0" w:color="auto"/>
        <w:right w:val="none" w:sz="0" w:space="0" w:color="auto"/>
      </w:divBdr>
    </w:div>
    <w:div w:id="615209653">
      <w:bodyDiv w:val="1"/>
      <w:marLeft w:val="0"/>
      <w:marRight w:val="0"/>
      <w:marTop w:val="0"/>
      <w:marBottom w:val="0"/>
      <w:divBdr>
        <w:top w:val="none" w:sz="0" w:space="0" w:color="auto"/>
        <w:left w:val="none" w:sz="0" w:space="0" w:color="auto"/>
        <w:bottom w:val="none" w:sz="0" w:space="0" w:color="auto"/>
        <w:right w:val="none" w:sz="0" w:space="0" w:color="auto"/>
      </w:divBdr>
    </w:div>
    <w:div w:id="641160751">
      <w:bodyDiv w:val="1"/>
      <w:marLeft w:val="0"/>
      <w:marRight w:val="0"/>
      <w:marTop w:val="0"/>
      <w:marBottom w:val="0"/>
      <w:divBdr>
        <w:top w:val="none" w:sz="0" w:space="0" w:color="auto"/>
        <w:left w:val="none" w:sz="0" w:space="0" w:color="auto"/>
        <w:bottom w:val="none" w:sz="0" w:space="0" w:color="auto"/>
        <w:right w:val="none" w:sz="0" w:space="0" w:color="auto"/>
      </w:divBdr>
    </w:div>
    <w:div w:id="643244543">
      <w:bodyDiv w:val="1"/>
      <w:marLeft w:val="0"/>
      <w:marRight w:val="0"/>
      <w:marTop w:val="0"/>
      <w:marBottom w:val="0"/>
      <w:divBdr>
        <w:top w:val="none" w:sz="0" w:space="0" w:color="auto"/>
        <w:left w:val="none" w:sz="0" w:space="0" w:color="auto"/>
        <w:bottom w:val="none" w:sz="0" w:space="0" w:color="auto"/>
        <w:right w:val="none" w:sz="0" w:space="0" w:color="auto"/>
      </w:divBdr>
    </w:div>
    <w:div w:id="699353522">
      <w:bodyDiv w:val="1"/>
      <w:marLeft w:val="0"/>
      <w:marRight w:val="0"/>
      <w:marTop w:val="0"/>
      <w:marBottom w:val="0"/>
      <w:divBdr>
        <w:top w:val="none" w:sz="0" w:space="0" w:color="auto"/>
        <w:left w:val="none" w:sz="0" w:space="0" w:color="auto"/>
        <w:bottom w:val="none" w:sz="0" w:space="0" w:color="auto"/>
        <w:right w:val="none" w:sz="0" w:space="0" w:color="auto"/>
      </w:divBdr>
    </w:div>
    <w:div w:id="717897112">
      <w:bodyDiv w:val="1"/>
      <w:marLeft w:val="0"/>
      <w:marRight w:val="0"/>
      <w:marTop w:val="0"/>
      <w:marBottom w:val="0"/>
      <w:divBdr>
        <w:top w:val="none" w:sz="0" w:space="0" w:color="auto"/>
        <w:left w:val="none" w:sz="0" w:space="0" w:color="auto"/>
        <w:bottom w:val="none" w:sz="0" w:space="0" w:color="auto"/>
        <w:right w:val="none" w:sz="0" w:space="0" w:color="auto"/>
      </w:divBdr>
    </w:div>
    <w:div w:id="728070164">
      <w:bodyDiv w:val="1"/>
      <w:marLeft w:val="0"/>
      <w:marRight w:val="0"/>
      <w:marTop w:val="0"/>
      <w:marBottom w:val="0"/>
      <w:divBdr>
        <w:top w:val="none" w:sz="0" w:space="0" w:color="auto"/>
        <w:left w:val="none" w:sz="0" w:space="0" w:color="auto"/>
        <w:bottom w:val="none" w:sz="0" w:space="0" w:color="auto"/>
        <w:right w:val="none" w:sz="0" w:space="0" w:color="auto"/>
      </w:divBdr>
    </w:div>
    <w:div w:id="735592117">
      <w:bodyDiv w:val="1"/>
      <w:marLeft w:val="0"/>
      <w:marRight w:val="0"/>
      <w:marTop w:val="0"/>
      <w:marBottom w:val="0"/>
      <w:divBdr>
        <w:top w:val="none" w:sz="0" w:space="0" w:color="auto"/>
        <w:left w:val="none" w:sz="0" w:space="0" w:color="auto"/>
        <w:bottom w:val="none" w:sz="0" w:space="0" w:color="auto"/>
        <w:right w:val="none" w:sz="0" w:space="0" w:color="auto"/>
      </w:divBdr>
    </w:div>
    <w:div w:id="751699490">
      <w:bodyDiv w:val="1"/>
      <w:marLeft w:val="0"/>
      <w:marRight w:val="0"/>
      <w:marTop w:val="0"/>
      <w:marBottom w:val="0"/>
      <w:divBdr>
        <w:top w:val="none" w:sz="0" w:space="0" w:color="auto"/>
        <w:left w:val="none" w:sz="0" w:space="0" w:color="auto"/>
        <w:bottom w:val="none" w:sz="0" w:space="0" w:color="auto"/>
        <w:right w:val="none" w:sz="0" w:space="0" w:color="auto"/>
      </w:divBdr>
    </w:div>
    <w:div w:id="752822482">
      <w:bodyDiv w:val="1"/>
      <w:marLeft w:val="0"/>
      <w:marRight w:val="0"/>
      <w:marTop w:val="0"/>
      <w:marBottom w:val="0"/>
      <w:divBdr>
        <w:top w:val="none" w:sz="0" w:space="0" w:color="auto"/>
        <w:left w:val="none" w:sz="0" w:space="0" w:color="auto"/>
        <w:bottom w:val="none" w:sz="0" w:space="0" w:color="auto"/>
        <w:right w:val="none" w:sz="0" w:space="0" w:color="auto"/>
      </w:divBdr>
    </w:div>
    <w:div w:id="850073137">
      <w:bodyDiv w:val="1"/>
      <w:marLeft w:val="0"/>
      <w:marRight w:val="0"/>
      <w:marTop w:val="0"/>
      <w:marBottom w:val="0"/>
      <w:divBdr>
        <w:top w:val="none" w:sz="0" w:space="0" w:color="auto"/>
        <w:left w:val="none" w:sz="0" w:space="0" w:color="auto"/>
        <w:bottom w:val="none" w:sz="0" w:space="0" w:color="auto"/>
        <w:right w:val="none" w:sz="0" w:space="0" w:color="auto"/>
      </w:divBdr>
    </w:div>
    <w:div w:id="864362609">
      <w:bodyDiv w:val="1"/>
      <w:marLeft w:val="0"/>
      <w:marRight w:val="0"/>
      <w:marTop w:val="0"/>
      <w:marBottom w:val="0"/>
      <w:divBdr>
        <w:top w:val="none" w:sz="0" w:space="0" w:color="auto"/>
        <w:left w:val="none" w:sz="0" w:space="0" w:color="auto"/>
        <w:bottom w:val="none" w:sz="0" w:space="0" w:color="auto"/>
        <w:right w:val="none" w:sz="0" w:space="0" w:color="auto"/>
      </w:divBdr>
    </w:div>
    <w:div w:id="900402946">
      <w:bodyDiv w:val="1"/>
      <w:marLeft w:val="0"/>
      <w:marRight w:val="0"/>
      <w:marTop w:val="0"/>
      <w:marBottom w:val="0"/>
      <w:divBdr>
        <w:top w:val="none" w:sz="0" w:space="0" w:color="auto"/>
        <w:left w:val="none" w:sz="0" w:space="0" w:color="auto"/>
        <w:bottom w:val="none" w:sz="0" w:space="0" w:color="auto"/>
        <w:right w:val="none" w:sz="0" w:space="0" w:color="auto"/>
      </w:divBdr>
    </w:div>
    <w:div w:id="918756444">
      <w:bodyDiv w:val="1"/>
      <w:marLeft w:val="0"/>
      <w:marRight w:val="0"/>
      <w:marTop w:val="0"/>
      <w:marBottom w:val="0"/>
      <w:divBdr>
        <w:top w:val="none" w:sz="0" w:space="0" w:color="auto"/>
        <w:left w:val="none" w:sz="0" w:space="0" w:color="auto"/>
        <w:bottom w:val="none" w:sz="0" w:space="0" w:color="auto"/>
        <w:right w:val="none" w:sz="0" w:space="0" w:color="auto"/>
      </w:divBdr>
    </w:div>
    <w:div w:id="943876313">
      <w:bodyDiv w:val="1"/>
      <w:marLeft w:val="0"/>
      <w:marRight w:val="0"/>
      <w:marTop w:val="0"/>
      <w:marBottom w:val="0"/>
      <w:divBdr>
        <w:top w:val="none" w:sz="0" w:space="0" w:color="auto"/>
        <w:left w:val="none" w:sz="0" w:space="0" w:color="auto"/>
        <w:bottom w:val="none" w:sz="0" w:space="0" w:color="auto"/>
        <w:right w:val="none" w:sz="0" w:space="0" w:color="auto"/>
      </w:divBdr>
    </w:div>
    <w:div w:id="991567907">
      <w:bodyDiv w:val="1"/>
      <w:marLeft w:val="0"/>
      <w:marRight w:val="0"/>
      <w:marTop w:val="0"/>
      <w:marBottom w:val="0"/>
      <w:divBdr>
        <w:top w:val="none" w:sz="0" w:space="0" w:color="auto"/>
        <w:left w:val="none" w:sz="0" w:space="0" w:color="auto"/>
        <w:bottom w:val="none" w:sz="0" w:space="0" w:color="auto"/>
        <w:right w:val="none" w:sz="0" w:space="0" w:color="auto"/>
      </w:divBdr>
    </w:div>
    <w:div w:id="995958149">
      <w:bodyDiv w:val="1"/>
      <w:marLeft w:val="0"/>
      <w:marRight w:val="0"/>
      <w:marTop w:val="0"/>
      <w:marBottom w:val="0"/>
      <w:divBdr>
        <w:top w:val="none" w:sz="0" w:space="0" w:color="auto"/>
        <w:left w:val="none" w:sz="0" w:space="0" w:color="auto"/>
        <w:bottom w:val="none" w:sz="0" w:space="0" w:color="auto"/>
        <w:right w:val="none" w:sz="0" w:space="0" w:color="auto"/>
      </w:divBdr>
    </w:div>
    <w:div w:id="1011876426">
      <w:bodyDiv w:val="1"/>
      <w:marLeft w:val="0"/>
      <w:marRight w:val="0"/>
      <w:marTop w:val="0"/>
      <w:marBottom w:val="0"/>
      <w:divBdr>
        <w:top w:val="none" w:sz="0" w:space="0" w:color="auto"/>
        <w:left w:val="none" w:sz="0" w:space="0" w:color="auto"/>
        <w:bottom w:val="none" w:sz="0" w:space="0" w:color="auto"/>
        <w:right w:val="none" w:sz="0" w:space="0" w:color="auto"/>
      </w:divBdr>
    </w:div>
    <w:div w:id="1022320829">
      <w:bodyDiv w:val="1"/>
      <w:marLeft w:val="0"/>
      <w:marRight w:val="0"/>
      <w:marTop w:val="0"/>
      <w:marBottom w:val="0"/>
      <w:divBdr>
        <w:top w:val="none" w:sz="0" w:space="0" w:color="auto"/>
        <w:left w:val="none" w:sz="0" w:space="0" w:color="auto"/>
        <w:bottom w:val="none" w:sz="0" w:space="0" w:color="auto"/>
        <w:right w:val="none" w:sz="0" w:space="0" w:color="auto"/>
      </w:divBdr>
    </w:div>
    <w:div w:id="1110509384">
      <w:bodyDiv w:val="1"/>
      <w:marLeft w:val="0"/>
      <w:marRight w:val="0"/>
      <w:marTop w:val="0"/>
      <w:marBottom w:val="0"/>
      <w:divBdr>
        <w:top w:val="none" w:sz="0" w:space="0" w:color="auto"/>
        <w:left w:val="none" w:sz="0" w:space="0" w:color="auto"/>
        <w:bottom w:val="none" w:sz="0" w:space="0" w:color="auto"/>
        <w:right w:val="none" w:sz="0" w:space="0" w:color="auto"/>
      </w:divBdr>
    </w:div>
    <w:div w:id="1123959669">
      <w:bodyDiv w:val="1"/>
      <w:marLeft w:val="0"/>
      <w:marRight w:val="0"/>
      <w:marTop w:val="0"/>
      <w:marBottom w:val="0"/>
      <w:divBdr>
        <w:top w:val="none" w:sz="0" w:space="0" w:color="auto"/>
        <w:left w:val="none" w:sz="0" w:space="0" w:color="auto"/>
        <w:bottom w:val="none" w:sz="0" w:space="0" w:color="auto"/>
        <w:right w:val="none" w:sz="0" w:space="0" w:color="auto"/>
      </w:divBdr>
    </w:div>
    <w:div w:id="1152868281">
      <w:bodyDiv w:val="1"/>
      <w:marLeft w:val="0"/>
      <w:marRight w:val="0"/>
      <w:marTop w:val="0"/>
      <w:marBottom w:val="0"/>
      <w:divBdr>
        <w:top w:val="none" w:sz="0" w:space="0" w:color="auto"/>
        <w:left w:val="none" w:sz="0" w:space="0" w:color="auto"/>
        <w:bottom w:val="none" w:sz="0" w:space="0" w:color="auto"/>
        <w:right w:val="none" w:sz="0" w:space="0" w:color="auto"/>
      </w:divBdr>
    </w:div>
    <w:div w:id="1178427025">
      <w:bodyDiv w:val="1"/>
      <w:marLeft w:val="0"/>
      <w:marRight w:val="0"/>
      <w:marTop w:val="0"/>
      <w:marBottom w:val="0"/>
      <w:divBdr>
        <w:top w:val="none" w:sz="0" w:space="0" w:color="auto"/>
        <w:left w:val="none" w:sz="0" w:space="0" w:color="auto"/>
        <w:bottom w:val="none" w:sz="0" w:space="0" w:color="auto"/>
        <w:right w:val="none" w:sz="0" w:space="0" w:color="auto"/>
      </w:divBdr>
    </w:div>
    <w:div w:id="1182359194">
      <w:bodyDiv w:val="1"/>
      <w:marLeft w:val="0"/>
      <w:marRight w:val="0"/>
      <w:marTop w:val="0"/>
      <w:marBottom w:val="0"/>
      <w:divBdr>
        <w:top w:val="none" w:sz="0" w:space="0" w:color="auto"/>
        <w:left w:val="none" w:sz="0" w:space="0" w:color="auto"/>
        <w:bottom w:val="none" w:sz="0" w:space="0" w:color="auto"/>
        <w:right w:val="none" w:sz="0" w:space="0" w:color="auto"/>
      </w:divBdr>
    </w:div>
    <w:div w:id="1194880143">
      <w:bodyDiv w:val="1"/>
      <w:marLeft w:val="0"/>
      <w:marRight w:val="0"/>
      <w:marTop w:val="0"/>
      <w:marBottom w:val="0"/>
      <w:divBdr>
        <w:top w:val="none" w:sz="0" w:space="0" w:color="auto"/>
        <w:left w:val="none" w:sz="0" w:space="0" w:color="auto"/>
        <w:bottom w:val="none" w:sz="0" w:space="0" w:color="auto"/>
        <w:right w:val="none" w:sz="0" w:space="0" w:color="auto"/>
      </w:divBdr>
    </w:div>
    <w:div w:id="1256480410">
      <w:bodyDiv w:val="1"/>
      <w:marLeft w:val="0"/>
      <w:marRight w:val="0"/>
      <w:marTop w:val="0"/>
      <w:marBottom w:val="0"/>
      <w:divBdr>
        <w:top w:val="none" w:sz="0" w:space="0" w:color="auto"/>
        <w:left w:val="none" w:sz="0" w:space="0" w:color="auto"/>
        <w:bottom w:val="none" w:sz="0" w:space="0" w:color="auto"/>
        <w:right w:val="none" w:sz="0" w:space="0" w:color="auto"/>
      </w:divBdr>
    </w:div>
    <w:div w:id="1290086505">
      <w:bodyDiv w:val="1"/>
      <w:marLeft w:val="0"/>
      <w:marRight w:val="0"/>
      <w:marTop w:val="0"/>
      <w:marBottom w:val="0"/>
      <w:divBdr>
        <w:top w:val="none" w:sz="0" w:space="0" w:color="auto"/>
        <w:left w:val="none" w:sz="0" w:space="0" w:color="auto"/>
        <w:bottom w:val="none" w:sz="0" w:space="0" w:color="auto"/>
        <w:right w:val="none" w:sz="0" w:space="0" w:color="auto"/>
      </w:divBdr>
    </w:div>
    <w:div w:id="1320501455">
      <w:bodyDiv w:val="1"/>
      <w:marLeft w:val="0"/>
      <w:marRight w:val="0"/>
      <w:marTop w:val="0"/>
      <w:marBottom w:val="0"/>
      <w:divBdr>
        <w:top w:val="none" w:sz="0" w:space="0" w:color="auto"/>
        <w:left w:val="none" w:sz="0" w:space="0" w:color="auto"/>
        <w:bottom w:val="none" w:sz="0" w:space="0" w:color="auto"/>
        <w:right w:val="none" w:sz="0" w:space="0" w:color="auto"/>
      </w:divBdr>
    </w:div>
    <w:div w:id="1320960535">
      <w:bodyDiv w:val="1"/>
      <w:marLeft w:val="0"/>
      <w:marRight w:val="0"/>
      <w:marTop w:val="0"/>
      <w:marBottom w:val="0"/>
      <w:divBdr>
        <w:top w:val="none" w:sz="0" w:space="0" w:color="auto"/>
        <w:left w:val="none" w:sz="0" w:space="0" w:color="auto"/>
        <w:bottom w:val="none" w:sz="0" w:space="0" w:color="auto"/>
        <w:right w:val="none" w:sz="0" w:space="0" w:color="auto"/>
      </w:divBdr>
    </w:div>
    <w:div w:id="1330910629">
      <w:bodyDiv w:val="1"/>
      <w:marLeft w:val="0"/>
      <w:marRight w:val="0"/>
      <w:marTop w:val="0"/>
      <w:marBottom w:val="0"/>
      <w:divBdr>
        <w:top w:val="none" w:sz="0" w:space="0" w:color="auto"/>
        <w:left w:val="none" w:sz="0" w:space="0" w:color="auto"/>
        <w:bottom w:val="none" w:sz="0" w:space="0" w:color="auto"/>
        <w:right w:val="none" w:sz="0" w:space="0" w:color="auto"/>
      </w:divBdr>
    </w:div>
    <w:div w:id="1353846952">
      <w:bodyDiv w:val="1"/>
      <w:marLeft w:val="0"/>
      <w:marRight w:val="0"/>
      <w:marTop w:val="0"/>
      <w:marBottom w:val="0"/>
      <w:divBdr>
        <w:top w:val="none" w:sz="0" w:space="0" w:color="auto"/>
        <w:left w:val="none" w:sz="0" w:space="0" w:color="auto"/>
        <w:bottom w:val="none" w:sz="0" w:space="0" w:color="auto"/>
        <w:right w:val="none" w:sz="0" w:space="0" w:color="auto"/>
      </w:divBdr>
    </w:div>
    <w:div w:id="1376271732">
      <w:bodyDiv w:val="1"/>
      <w:marLeft w:val="0"/>
      <w:marRight w:val="0"/>
      <w:marTop w:val="0"/>
      <w:marBottom w:val="0"/>
      <w:divBdr>
        <w:top w:val="none" w:sz="0" w:space="0" w:color="auto"/>
        <w:left w:val="none" w:sz="0" w:space="0" w:color="auto"/>
        <w:bottom w:val="none" w:sz="0" w:space="0" w:color="auto"/>
        <w:right w:val="none" w:sz="0" w:space="0" w:color="auto"/>
      </w:divBdr>
    </w:div>
    <w:div w:id="1419249282">
      <w:bodyDiv w:val="1"/>
      <w:marLeft w:val="0"/>
      <w:marRight w:val="0"/>
      <w:marTop w:val="0"/>
      <w:marBottom w:val="0"/>
      <w:divBdr>
        <w:top w:val="none" w:sz="0" w:space="0" w:color="auto"/>
        <w:left w:val="none" w:sz="0" w:space="0" w:color="auto"/>
        <w:bottom w:val="none" w:sz="0" w:space="0" w:color="auto"/>
        <w:right w:val="none" w:sz="0" w:space="0" w:color="auto"/>
      </w:divBdr>
    </w:div>
    <w:div w:id="1422606311">
      <w:bodyDiv w:val="1"/>
      <w:marLeft w:val="0"/>
      <w:marRight w:val="0"/>
      <w:marTop w:val="0"/>
      <w:marBottom w:val="0"/>
      <w:divBdr>
        <w:top w:val="none" w:sz="0" w:space="0" w:color="auto"/>
        <w:left w:val="none" w:sz="0" w:space="0" w:color="auto"/>
        <w:bottom w:val="none" w:sz="0" w:space="0" w:color="auto"/>
        <w:right w:val="none" w:sz="0" w:space="0" w:color="auto"/>
      </w:divBdr>
    </w:div>
    <w:div w:id="1440251310">
      <w:bodyDiv w:val="1"/>
      <w:marLeft w:val="0"/>
      <w:marRight w:val="0"/>
      <w:marTop w:val="0"/>
      <w:marBottom w:val="0"/>
      <w:divBdr>
        <w:top w:val="none" w:sz="0" w:space="0" w:color="auto"/>
        <w:left w:val="none" w:sz="0" w:space="0" w:color="auto"/>
        <w:bottom w:val="none" w:sz="0" w:space="0" w:color="auto"/>
        <w:right w:val="none" w:sz="0" w:space="0" w:color="auto"/>
      </w:divBdr>
    </w:div>
    <w:div w:id="1443647345">
      <w:bodyDiv w:val="1"/>
      <w:marLeft w:val="0"/>
      <w:marRight w:val="0"/>
      <w:marTop w:val="0"/>
      <w:marBottom w:val="0"/>
      <w:divBdr>
        <w:top w:val="none" w:sz="0" w:space="0" w:color="auto"/>
        <w:left w:val="none" w:sz="0" w:space="0" w:color="auto"/>
        <w:bottom w:val="none" w:sz="0" w:space="0" w:color="auto"/>
        <w:right w:val="none" w:sz="0" w:space="0" w:color="auto"/>
      </w:divBdr>
    </w:div>
    <w:div w:id="1461191702">
      <w:bodyDiv w:val="1"/>
      <w:marLeft w:val="0"/>
      <w:marRight w:val="0"/>
      <w:marTop w:val="0"/>
      <w:marBottom w:val="0"/>
      <w:divBdr>
        <w:top w:val="none" w:sz="0" w:space="0" w:color="auto"/>
        <w:left w:val="none" w:sz="0" w:space="0" w:color="auto"/>
        <w:bottom w:val="none" w:sz="0" w:space="0" w:color="auto"/>
        <w:right w:val="none" w:sz="0" w:space="0" w:color="auto"/>
      </w:divBdr>
    </w:div>
    <w:div w:id="1480609867">
      <w:bodyDiv w:val="1"/>
      <w:marLeft w:val="0"/>
      <w:marRight w:val="0"/>
      <w:marTop w:val="0"/>
      <w:marBottom w:val="0"/>
      <w:divBdr>
        <w:top w:val="none" w:sz="0" w:space="0" w:color="auto"/>
        <w:left w:val="none" w:sz="0" w:space="0" w:color="auto"/>
        <w:bottom w:val="none" w:sz="0" w:space="0" w:color="auto"/>
        <w:right w:val="none" w:sz="0" w:space="0" w:color="auto"/>
      </w:divBdr>
    </w:div>
    <w:div w:id="1483425506">
      <w:bodyDiv w:val="1"/>
      <w:marLeft w:val="0"/>
      <w:marRight w:val="0"/>
      <w:marTop w:val="0"/>
      <w:marBottom w:val="0"/>
      <w:divBdr>
        <w:top w:val="none" w:sz="0" w:space="0" w:color="auto"/>
        <w:left w:val="none" w:sz="0" w:space="0" w:color="auto"/>
        <w:bottom w:val="none" w:sz="0" w:space="0" w:color="auto"/>
        <w:right w:val="none" w:sz="0" w:space="0" w:color="auto"/>
      </w:divBdr>
    </w:div>
    <w:div w:id="1563905252">
      <w:bodyDiv w:val="1"/>
      <w:marLeft w:val="0"/>
      <w:marRight w:val="0"/>
      <w:marTop w:val="0"/>
      <w:marBottom w:val="0"/>
      <w:divBdr>
        <w:top w:val="none" w:sz="0" w:space="0" w:color="auto"/>
        <w:left w:val="none" w:sz="0" w:space="0" w:color="auto"/>
        <w:bottom w:val="none" w:sz="0" w:space="0" w:color="auto"/>
        <w:right w:val="none" w:sz="0" w:space="0" w:color="auto"/>
      </w:divBdr>
    </w:div>
    <w:div w:id="1569413308">
      <w:bodyDiv w:val="1"/>
      <w:marLeft w:val="0"/>
      <w:marRight w:val="0"/>
      <w:marTop w:val="0"/>
      <w:marBottom w:val="0"/>
      <w:divBdr>
        <w:top w:val="none" w:sz="0" w:space="0" w:color="auto"/>
        <w:left w:val="none" w:sz="0" w:space="0" w:color="auto"/>
        <w:bottom w:val="none" w:sz="0" w:space="0" w:color="auto"/>
        <w:right w:val="none" w:sz="0" w:space="0" w:color="auto"/>
      </w:divBdr>
    </w:div>
    <w:div w:id="1578442149">
      <w:bodyDiv w:val="1"/>
      <w:marLeft w:val="0"/>
      <w:marRight w:val="0"/>
      <w:marTop w:val="0"/>
      <w:marBottom w:val="0"/>
      <w:divBdr>
        <w:top w:val="none" w:sz="0" w:space="0" w:color="auto"/>
        <w:left w:val="none" w:sz="0" w:space="0" w:color="auto"/>
        <w:bottom w:val="none" w:sz="0" w:space="0" w:color="auto"/>
        <w:right w:val="none" w:sz="0" w:space="0" w:color="auto"/>
      </w:divBdr>
    </w:div>
    <w:div w:id="1631934412">
      <w:bodyDiv w:val="1"/>
      <w:marLeft w:val="0"/>
      <w:marRight w:val="0"/>
      <w:marTop w:val="0"/>
      <w:marBottom w:val="0"/>
      <w:divBdr>
        <w:top w:val="none" w:sz="0" w:space="0" w:color="auto"/>
        <w:left w:val="none" w:sz="0" w:space="0" w:color="auto"/>
        <w:bottom w:val="none" w:sz="0" w:space="0" w:color="auto"/>
        <w:right w:val="none" w:sz="0" w:space="0" w:color="auto"/>
      </w:divBdr>
    </w:div>
    <w:div w:id="1634024839">
      <w:bodyDiv w:val="1"/>
      <w:marLeft w:val="0"/>
      <w:marRight w:val="0"/>
      <w:marTop w:val="0"/>
      <w:marBottom w:val="0"/>
      <w:divBdr>
        <w:top w:val="none" w:sz="0" w:space="0" w:color="auto"/>
        <w:left w:val="none" w:sz="0" w:space="0" w:color="auto"/>
        <w:bottom w:val="none" w:sz="0" w:space="0" w:color="auto"/>
        <w:right w:val="none" w:sz="0" w:space="0" w:color="auto"/>
      </w:divBdr>
    </w:div>
    <w:div w:id="1641494890">
      <w:bodyDiv w:val="1"/>
      <w:marLeft w:val="0"/>
      <w:marRight w:val="0"/>
      <w:marTop w:val="0"/>
      <w:marBottom w:val="0"/>
      <w:divBdr>
        <w:top w:val="none" w:sz="0" w:space="0" w:color="auto"/>
        <w:left w:val="none" w:sz="0" w:space="0" w:color="auto"/>
        <w:bottom w:val="none" w:sz="0" w:space="0" w:color="auto"/>
        <w:right w:val="none" w:sz="0" w:space="0" w:color="auto"/>
      </w:divBdr>
    </w:div>
    <w:div w:id="1645114238">
      <w:bodyDiv w:val="1"/>
      <w:marLeft w:val="0"/>
      <w:marRight w:val="0"/>
      <w:marTop w:val="0"/>
      <w:marBottom w:val="0"/>
      <w:divBdr>
        <w:top w:val="none" w:sz="0" w:space="0" w:color="auto"/>
        <w:left w:val="none" w:sz="0" w:space="0" w:color="auto"/>
        <w:bottom w:val="none" w:sz="0" w:space="0" w:color="auto"/>
        <w:right w:val="none" w:sz="0" w:space="0" w:color="auto"/>
      </w:divBdr>
    </w:div>
    <w:div w:id="1726417426">
      <w:bodyDiv w:val="1"/>
      <w:marLeft w:val="0"/>
      <w:marRight w:val="0"/>
      <w:marTop w:val="0"/>
      <w:marBottom w:val="0"/>
      <w:divBdr>
        <w:top w:val="none" w:sz="0" w:space="0" w:color="auto"/>
        <w:left w:val="none" w:sz="0" w:space="0" w:color="auto"/>
        <w:bottom w:val="none" w:sz="0" w:space="0" w:color="auto"/>
        <w:right w:val="none" w:sz="0" w:space="0" w:color="auto"/>
      </w:divBdr>
    </w:div>
    <w:div w:id="1776485017">
      <w:bodyDiv w:val="1"/>
      <w:marLeft w:val="0"/>
      <w:marRight w:val="0"/>
      <w:marTop w:val="0"/>
      <w:marBottom w:val="0"/>
      <w:divBdr>
        <w:top w:val="none" w:sz="0" w:space="0" w:color="auto"/>
        <w:left w:val="none" w:sz="0" w:space="0" w:color="auto"/>
        <w:bottom w:val="none" w:sz="0" w:space="0" w:color="auto"/>
        <w:right w:val="none" w:sz="0" w:space="0" w:color="auto"/>
      </w:divBdr>
    </w:div>
    <w:div w:id="1889566147">
      <w:bodyDiv w:val="1"/>
      <w:marLeft w:val="0"/>
      <w:marRight w:val="0"/>
      <w:marTop w:val="0"/>
      <w:marBottom w:val="0"/>
      <w:divBdr>
        <w:top w:val="none" w:sz="0" w:space="0" w:color="auto"/>
        <w:left w:val="none" w:sz="0" w:space="0" w:color="auto"/>
        <w:bottom w:val="none" w:sz="0" w:space="0" w:color="auto"/>
        <w:right w:val="none" w:sz="0" w:space="0" w:color="auto"/>
      </w:divBdr>
    </w:div>
    <w:div w:id="1931503237">
      <w:bodyDiv w:val="1"/>
      <w:marLeft w:val="0"/>
      <w:marRight w:val="0"/>
      <w:marTop w:val="0"/>
      <w:marBottom w:val="0"/>
      <w:divBdr>
        <w:top w:val="none" w:sz="0" w:space="0" w:color="auto"/>
        <w:left w:val="none" w:sz="0" w:space="0" w:color="auto"/>
        <w:bottom w:val="none" w:sz="0" w:space="0" w:color="auto"/>
        <w:right w:val="none" w:sz="0" w:space="0" w:color="auto"/>
      </w:divBdr>
    </w:div>
    <w:div w:id="1973755306">
      <w:bodyDiv w:val="1"/>
      <w:marLeft w:val="0"/>
      <w:marRight w:val="0"/>
      <w:marTop w:val="0"/>
      <w:marBottom w:val="0"/>
      <w:divBdr>
        <w:top w:val="none" w:sz="0" w:space="0" w:color="auto"/>
        <w:left w:val="none" w:sz="0" w:space="0" w:color="auto"/>
        <w:bottom w:val="none" w:sz="0" w:space="0" w:color="auto"/>
        <w:right w:val="none" w:sz="0" w:space="0" w:color="auto"/>
      </w:divBdr>
    </w:div>
    <w:div w:id="1980767142">
      <w:bodyDiv w:val="1"/>
      <w:marLeft w:val="0"/>
      <w:marRight w:val="0"/>
      <w:marTop w:val="0"/>
      <w:marBottom w:val="0"/>
      <w:divBdr>
        <w:top w:val="none" w:sz="0" w:space="0" w:color="auto"/>
        <w:left w:val="none" w:sz="0" w:space="0" w:color="auto"/>
        <w:bottom w:val="none" w:sz="0" w:space="0" w:color="auto"/>
        <w:right w:val="none" w:sz="0" w:space="0" w:color="auto"/>
      </w:divBdr>
    </w:div>
    <w:div w:id="2016960024">
      <w:bodyDiv w:val="1"/>
      <w:marLeft w:val="0"/>
      <w:marRight w:val="0"/>
      <w:marTop w:val="0"/>
      <w:marBottom w:val="0"/>
      <w:divBdr>
        <w:top w:val="none" w:sz="0" w:space="0" w:color="auto"/>
        <w:left w:val="none" w:sz="0" w:space="0" w:color="auto"/>
        <w:bottom w:val="none" w:sz="0" w:space="0" w:color="auto"/>
        <w:right w:val="none" w:sz="0" w:space="0" w:color="auto"/>
      </w:divBdr>
    </w:div>
    <w:div w:id="2031027999">
      <w:bodyDiv w:val="1"/>
      <w:marLeft w:val="0"/>
      <w:marRight w:val="0"/>
      <w:marTop w:val="0"/>
      <w:marBottom w:val="0"/>
      <w:divBdr>
        <w:top w:val="none" w:sz="0" w:space="0" w:color="auto"/>
        <w:left w:val="none" w:sz="0" w:space="0" w:color="auto"/>
        <w:bottom w:val="none" w:sz="0" w:space="0" w:color="auto"/>
        <w:right w:val="none" w:sz="0" w:space="0" w:color="auto"/>
      </w:divBdr>
    </w:div>
    <w:div w:id="2036300128">
      <w:bodyDiv w:val="1"/>
      <w:marLeft w:val="0"/>
      <w:marRight w:val="0"/>
      <w:marTop w:val="0"/>
      <w:marBottom w:val="0"/>
      <w:divBdr>
        <w:top w:val="none" w:sz="0" w:space="0" w:color="auto"/>
        <w:left w:val="none" w:sz="0" w:space="0" w:color="auto"/>
        <w:bottom w:val="none" w:sz="0" w:space="0" w:color="auto"/>
        <w:right w:val="none" w:sz="0" w:space="0" w:color="auto"/>
      </w:divBdr>
    </w:div>
    <w:div w:id="2046247325">
      <w:bodyDiv w:val="1"/>
      <w:marLeft w:val="0"/>
      <w:marRight w:val="0"/>
      <w:marTop w:val="0"/>
      <w:marBottom w:val="0"/>
      <w:divBdr>
        <w:top w:val="none" w:sz="0" w:space="0" w:color="auto"/>
        <w:left w:val="none" w:sz="0" w:space="0" w:color="auto"/>
        <w:bottom w:val="none" w:sz="0" w:space="0" w:color="auto"/>
        <w:right w:val="none" w:sz="0" w:space="0" w:color="auto"/>
      </w:divBdr>
    </w:div>
    <w:div w:id="2081445724">
      <w:bodyDiv w:val="1"/>
      <w:marLeft w:val="0"/>
      <w:marRight w:val="0"/>
      <w:marTop w:val="0"/>
      <w:marBottom w:val="0"/>
      <w:divBdr>
        <w:top w:val="none" w:sz="0" w:space="0" w:color="auto"/>
        <w:left w:val="none" w:sz="0" w:space="0" w:color="auto"/>
        <w:bottom w:val="none" w:sz="0" w:space="0" w:color="auto"/>
        <w:right w:val="none" w:sz="0" w:space="0" w:color="auto"/>
      </w:divBdr>
    </w:div>
    <w:div w:id="20885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2.png"/><Relationship Id="rId28" Type="http://schemas.openxmlformats.org/officeDocument/2006/relationships/chart" Target="charts/chart18.xm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hart" Target="charts/chart10.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package" Target="embeddings/Microsoft_Word_Document.docx"/></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NZ" sz="1600" dirty="0"/>
              <a:t>Successful Course Completion </a:t>
            </a:r>
            <a:r>
              <a:rPr lang="en-NZ" sz="1200" dirty="0"/>
              <a:t>Rates</a:t>
            </a:r>
          </a:p>
        </c:rich>
      </c:tx>
      <c:layout>
        <c:manualLayout>
          <c:xMode val="edge"/>
          <c:yMode val="edge"/>
          <c:x val="0.19434757102385786"/>
          <c:y val="3.0303090671540821E-2"/>
        </c:manualLayout>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ITPs</c:v>
                </c:pt>
              </c:strCache>
            </c:strRef>
          </c:tx>
          <c:spPr>
            <a:ln w="28575" cap="rnd">
              <a:solidFill>
                <a:schemeClr val="accent2">
                  <a:lumMod val="75000"/>
                </a:schemeClr>
              </a:solidFill>
              <a:round/>
            </a:ln>
            <a:effectLst/>
          </c:spPr>
          <c:marker>
            <c:symbol val="none"/>
          </c:marker>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Sheet1!$B$2:$B$11</c:f>
              <c:numCache>
                <c:formatCode>0.0%</c:formatCode>
                <c:ptCount val="10"/>
                <c:pt idx="0">
                  <c:v>0.71810602411852953</c:v>
                </c:pt>
                <c:pt idx="1">
                  <c:v>0.75143146183957932</c:v>
                </c:pt>
                <c:pt idx="2">
                  <c:v>0.78238841786276592</c:v>
                </c:pt>
                <c:pt idx="3">
                  <c:v>0.79756527942016575</c:v>
                </c:pt>
                <c:pt idx="4">
                  <c:v>0.80665805812823965</c:v>
                </c:pt>
                <c:pt idx="5">
                  <c:v>0.80738102238765275</c:v>
                </c:pt>
                <c:pt idx="6">
                  <c:v>0.80877769002032274</c:v>
                </c:pt>
                <c:pt idx="7">
                  <c:v>0.80719725601976111</c:v>
                </c:pt>
                <c:pt idx="8">
                  <c:v>0.81754001759610373</c:v>
                </c:pt>
              </c:numCache>
            </c:numRef>
          </c:val>
          <c:smooth val="0"/>
          <c:extLst>
            <c:ext xmlns:c16="http://schemas.microsoft.com/office/drawing/2014/chart" uri="{C3380CC4-5D6E-409C-BE32-E72D297353CC}">
              <c16:uniqueId val="{00000000-D722-4B7B-B645-3AE6C2CD969C}"/>
            </c:ext>
          </c:extLst>
        </c:ser>
        <c:ser>
          <c:idx val="1"/>
          <c:order val="1"/>
          <c:tx>
            <c:strRef>
              <c:f>Sheet1!$C$1</c:f>
              <c:strCache>
                <c:ptCount val="1"/>
                <c:pt idx="0">
                  <c:v>Universities</c:v>
                </c:pt>
              </c:strCache>
            </c:strRef>
          </c:tx>
          <c:spPr>
            <a:ln w="28575" cap="rnd">
              <a:solidFill>
                <a:srgbClr val="0070C0"/>
              </a:solidFill>
              <a:round/>
            </a:ln>
            <a:effectLst/>
          </c:spPr>
          <c:marker>
            <c:symbol val="none"/>
          </c:marker>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Sheet1!$C$2:$C$11</c:f>
              <c:numCache>
                <c:formatCode>0.0%</c:formatCode>
                <c:ptCount val="10"/>
                <c:pt idx="0">
                  <c:v>0.83701389884021182</c:v>
                </c:pt>
                <c:pt idx="1">
                  <c:v>0.84436589935297524</c:v>
                </c:pt>
                <c:pt idx="2">
                  <c:v>0.85970877228386122</c:v>
                </c:pt>
                <c:pt idx="3">
                  <c:v>0.86363450826373611</c:v>
                </c:pt>
                <c:pt idx="4">
                  <c:v>0.86184283025652808</c:v>
                </c:pt>
                <c:pt idx="5">
                  <c:v>0.86319466330255468</c:v>
                </c:pt>
                <c:pt idx="6">
                  <c:v>0.8673668475354317</c:v>
                </c:pt>
                <c:pt idx="7">
                  <c:v>0.87050140854956792</c:v>
                </c:pt>
                <c:pt idx="8">
                  <c:v>0.8722616143787304</c:v>
                </c:pt>
              </c:numCache>
            </c:numRef>
          </c:val>
          <c:smooth val="0"/>
          <c:extLst>
            <c:ext xmlns:c16="http://schemas.microsoft.com/office/drawing/2014/chart" uri="{C3380CC4-5D6E-409C-BE32-E72D297353CC}">
              <c16:uniqueId val="{00000001-D722-4B7B-B645-3AE6C2CD969C}"/>
            </c:ext>
          </c:extLst>
        </c:ser>
        <c:ser>
          <c:idx val="2"/>
          <c:order val="2"/>
          <c:tx>
            <c:strRef>
              <c:f>Sheet1!$D$1</c:f>
              <c:strCache>
                <c:ptCount val="1"/>
                <c:pt idx="0">
                  <c:v>Unitec</c:v>
                </c:pt>
              </c:strCache>
            </c:strRef>
          </c:tx>
          <c:spPr>
            <a:ln w="28575" cap="rnd">
              <a:solidFill>
                <a:srgbClr val="298224"/>
              </a:solidFill>
              <a:round/>
            </a:ln>
            <a:effectLst/>
          </c:spPr>
          <c:marker>
            <c:symbol val="none"/>
          </c:marker>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Sheet1!$D$2:$D$11</c:f>
              <c:numCache>
                <c:formatCode>0.0%</c:formatCode>
                <c:ptCount val="10"/>
                <c:pt idx="0">
                  <c:v>0.77372860982849234</c:v>
                </c:pt>
                <c:pt idx="1">
                  <c:v>0.76373956856280123</c:v>
                </c:pt>
                <c:pt idx="2">
                  <c:v>0.77632655921338289</c:v>
                </c:pt>
                <c:pt idx="3">
                  <c:v>0.80585702526366843</c:v>
                </c:pt>
                <c:pt idx="4">
                  <c:v>0.82122257417833011</c:v>
                </c:pt>
                <c:pt idx="5">
                  <c:v>0.84330045551395272</c:v>
                </c:pt>
                <c:pt idx="6">
                  <c:v>0.83299999999999996</c:v>
                </c:pt>
                <c:pt idx="7">
                  <c:v>0.83399999999999996</c:v>
                </c:pt>
                <c:pt idx="8">
                  <c:v>0.83399999999999996</c:v>
                </c:pt>
                <c:pt idx="9">
                  <c:v>0.81699999999999995</c:v>
                </c:pt>
              </c:numCache>
            </c:numRef>
          </c:val>
          <c:smooth val="0"/>
          <c:extLst>
            <c:ext xmlns:c16="http://schemas.microsoft.com/office/drawing/2014/chart" uri="{C3380CC4-5D6E-409C-BE32-E72D297353CC}">
              <c16:uniqueId val="{00000002-D722-4B7B-B645-3AE6C2CD969C}"/>
            </c:ext>
          </c:extLst>
        </c:ser>
        <c:dLbls>
          <c:showLegendKey val="0"/>
          <c:showVal val="0"/>
          <c:showCatName val="0"/>
          <c:showSerName val="0"/>
          <c:showPercent val="0"/>
          <c:showBubbleSize val="0"/>
        </c:dLbls>
        <c:smooth val="0"/>
        <c:axId val="683839167"/>
        <c:axId val="683835839"/>
      </c:lineChart>
      <c:catAx>
        <c:axId val="683839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83835839"/>
        <c:crosses val="autoZero"/>
        <c:auto val="1"/>
        <c:lblAlgn val="ctr"/>
        <c:lblOffset val="100"/>
        <c:noMultiLvlLbl val="0"/>
      </c:catAx>
      <c:valAx>
        <c:axId val="683835839"/>
        <c:scaling>
          <c:orientation val="minMax"/>
          <c:min val="0.6000000000000000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83839167"/>
        <c:crosses val="autoZero"/>
        <c:crossBetween val="between"/>
        <c:majorUnit val="0.1"/>
      </c:valAx>
      <c:dTable>
        <c:showHorzBorder val="1"/>
        <c:showVertBorder val="1"/>
        <c:showOutline val="1"/>
        <c:showKeys val="1"/>
        <c:spPr>
          <a:noFill/>
          <a:ln w="9525" cap="flat" cmpd="sng" algn="ctr">
            <a:solidFill>
              <a:schemeClr val="bg1">
                <a:lumMod val="50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solidFill>
            <a:schemeClr val="bg1">
              <a:lumMod val="50000"/>
            </a:schemeClr>
          </a:solidFill>
        </a:ln>
        <a:effectLst/>
      </c:spPr>
    </c:plotArea>
    <c:legend>
      <c:legendPos val="b"/>
      <c:layout>
        <c:manualLayout>
          <c:xMode val="edge"/>
          <c:yMode val="edge"/>
          <c:x val="0.41673953054632679"/>
          <c:y val="0.50698302180918087"/>
          <c:w val="0.52344094389923457"/>
          <c:h val="5.4475970389849276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200" b="0" i="0" u="none" strike="noStrike" baseline="0" dirty="0">
                <a:effectLst/>
              </a:rPr>
              <a:t>Qualification Completion </a:t>
            </a:r>
            <a:r>
              <a:rPr lang="en-NZ" sz="1100" dirty="0"/>
              <a:t>- International</a:t>
            </a:r>
          </a:p>
        </c:rich>
      </c:tx>
      <c:layout>
        <c:manualLayout>
          <c:xMode val="edge"/>
          <c:yMode val="edge"/>
          <c:x val="4.6172658351675208E-2"/>
          <c:y val="2.671118530884808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421148640267349"/>
          <c:y val="0.20126064672957145"/>
          <c:w val="0.640872972440514"/>
          <c:h val="0.45211481421131761"/>
        </c:manualLayout>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0.43499999999999994</c:v>
                </c:pt>
                <c:pt idx="1">
                  <c:v>0.12099999999999994</c:v>
                </c:pt>
                <c:pt idx="2">
                  <c:v>0.14899999999999997</c:v>
                </c:pt>
                <c:pt idx="3">
                  <c:v>0.10900000000000004</c:v>
                </c:pt>
                <c:pt idx="4">
                  <c:v>-0.10399999999999998</c:v>
                </c:pt>
                <c:pt idx="5">
                  <c:v>-6.9000000000000006E-2</c:v>
                </c:pt>
                <c:pt idx="6">
                  <c:v>-0.13500000000000001</c:v>
                </c:pt>
                <c:pt idx="7">
                  <c:v>-8.3999999999999964E-2</c:v>
                </c:pt>
                <c:pt idx="8">
                  <c:v>-5.5000000000000049E-2</c:v>
                </c:pt>
                <c:pt idx="9">
                  <c:v>4.500000000000004E-2</c:v>
                </c:pt>
                <c:pt idx="10">
                  <c:v>0.10399999999999998</c:v>
                </c:pt>
              </c:numCache>
            </c:numRef>
          </c:val>
          <c:extLst>
            <c:ext xmlns:c16="http://schemas.microsoft.com/office/drawing/2014/chart" uri="{C3380CC4-5D6E-409C-BE32-E72D297353CC}">
              <c16:uniqueId val="{00000000-2551-4F23-9DE6-EBCA8822C7D6}"/>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International</c:v>
                </c:pt>
              </c:strCache>
            </c:strRef>
          </c:tx>
          <c:spPr>
            <a:ln w="28575" cap="rnd">
              <a:solidFill>
                <a:schemeClr val="accent1"/>
              </a:solidFill>
              <a:round/>
            </a:ln>
            <a:effectLst/>
          </c:spPr>
          <c:marker>
            <c:symbol val="none"/>
          </c:marker>
          <c:dLbls>
            <c:dLbl>
              <c:idx val="10"/>
              <c:layout>
                <c:manualLayout>
                  <c:x val="-0.17119100024455866"/>
                  <c:y val="-5.4614909363374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51-4F23-9DE6-EBCA8822C7D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Sheet1!$B$2:$B$12</c:f>
              <c:numCache>
                <c:formatCode>0.0%</c:formatCode>
                <c:ptCount val="11"/>
                <c:pt idx="0">
                  <c:v>0.56699999999999995</c:v>
                </c:pt>
                <c:pt idx="1">
                  <c:v>0.57899999999999996</c:v>
                </c:pt>
                <c:pt idx="2">
                  <c:v>0.59499999999999997</c:v>
                </c:pt>
                <c:pt idx="3">
                  <c:v>0.52800000000000002</c:v>
                </c:pt>
                <c:pt idx="4">
                  <c:v>0.38100000000000001</c:v>
                </c:pt>
                <c:pt idx="5">
                  <c:v>0.38100000000000001</c:v>
                </c:pt>
                <c:pt idx="6">
                  <c:v>0.38300000000000001</c:v>
                </c:pt>
                <c:pt idx="7">
                  <c:v>0.48599999999999999</c:v>
                </c:pt>
                <c:pt idx="8">
                  <c:v>0.499</c:v>
                </c:pt>
                <c:pt idx="9">
                  <c:v>0.621</c:v>
                </c:pt>
                <c:pt idx="10">
                  <c:v>0.628</c:v>
                </c:pt>
              </c:numCache>
            </c:numRef>
          </c:val>
          <c:smooth val="0"/>
          <c:extLst>
            <c:ext xmlns:c16="http://schemas.microsoft.com/office/drawing/2014/chart" uri="{C3380CC4-5D6E-409C-BE32-E72D297353CC}">
              <c16:uniqueId val="{00000002-2551-4F23-9DE6-EBCA8822C7D6}"/>
            </c:ext>
          </c:extLst>
        </c:ser>
        <c:ser>
          <c:idx val="1"/>
          <c:order val="1"/>
          <c:tx>
            <c:strRef>
              <c:f>Sheet1!$C$1</c:f>
              <c:strCache>
                <c:ptCount val="1"/>
                <c:pt idx="0">
                  <c:v>Domestic</c:v>
                </c:pt>
              </c:strCache>
            </c:strRef>
          </c:tx>
          <c:spPr>
            <a:ln w="28575" cap="rnd">
              <a:solidFill>
                <a:schemeClr val="accent2"/>
              </a:solidFill>
              <a:round/>
            </a:ln>
            <a:effectLst/>
          </c:spPr>
          <c:marker>
            <c:symbol val="none"/>
          </c:marker>
          <c:dLbls>
            <c:dLbl>
              <c:idx val="10"/>
              <c:layout>
                <c:manualLayout>
                  <c:x val="-0.11738811445341168"/>
                  <c:y val="4.4908443205868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51-4F23-9DE6-EBCA8822C7D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Sheet1!$C$2:$C$12</c:f>
              <c:numCache>
                <c:formatCode>0.0%</c:formatCode>
                <c:ptCount val="11"/>
                <c:pt idx="0">
                  <c:v>0.13200000000000001</c:v>
                </c:pt>
                <c:pt idx="1">
                  <c:v>0.45800000000000002</c:v>
                </c:pt>
                <c:pt idx="2">
                  <c:v>0.44600000000000001</c:v>
                </c:pt>
                <c:pt idx="3">
                  <c:v>0.41899999999999998</c:v>
                </c:pt>
                <c:pt idx="4">
                  <c:v>0.48499999999999999</c:v>
                </c:pt>
                <c:pt idx="5">
                  <c:v>0.45</c:v>
                </c:pt>
                <c:pt idx="6">
                  <c:v>0.51800000000000002</c:v>
                </c:pt>
                <c:pt idx="7">
                  <c:v>0.56999999999999995</c:v>
                </c:pt>
                <c:pt idx="8">
                  <c:v>0.55400000000000005</c:v>
                </c:pt>
                <c:pt idx="9">
                  <c:v>0.57599999999999996</c:v>
                </c:pt>
                <c:pt idx="10">
                  <c:v>0.52400000000000002</c:v>
                </c:pt>
              </c:numCache>
            </c:numRef>
          </c:val>
          <c:smooth val="0"/>
          <c:extLst>
            <c:ext xmlns:c16="http://schemas.microsoft.com/office/drawing/2014/chart" uri="{C3380CC4-5D6E-409C-BE32-E72D297353CC}">
              <c16:uniqueId val="{00000004-2551-4F23-9DE6-EBCA8822C7D6}"/>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ax val="0.70000000000000007"/>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min val="-0.2"/>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layout>
        <c:manualLayout>
          <c:xMode val="edge"/>
          <c:yMode val="edge"/>
          <c:x val="0"/>
          <c:y val="0.83528663257660407"/>
          <c:w val="1"/>
          <c:h val="0.1246465894601238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200" dirty="0"/>
              <a:t>Unitec Course</a:t>
            </a:r>
            <a:r>
              <a:rPr lang="en-NZ" sz="1200" baseline="0" dirty="0"/>
              <a:t> Completion vs Qualification Completion</a:t>
            </a:r>
            <a:endParaRPr lang="en-NZ" sz="1200" dirty="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Sheet1!$D$2:$D$11</c:f>
              <c:numCache>
                <c:formatCode>0.0%</c:formatCode>
                <c:ptCount val="10"/>
                <c:pt idx="0">
                  <c:v>0.29666235678174474</c:v>
                </c:pt>
                <c:pt idx="1">
                  <c:v>0.29869425692973567</c:v>
                </c:pt>
                <c:pt idx="2">
                  <c:v>0.3422654238422031</c:v>
                </c:pt>
                <c:pt idx="3">
                  <c:v>0.33915396849510887</c:v>
                </c:pt>
                <c:pt idx="4">
                  <c:v>0.38319161874949248</c:v>
                </c:pt>
                <c:pt idx="5">
                  <c:v>0.35178078115845784</c:v>
                </c:pt>
                <c:pt idx="6">
                  <c:v>0.28072125935759729</c:v>
                </c:pt>
                <c:pt idx="7">
                  <c:v>0.2916594003422267</c:v>
                </c:pt>
                <c:pt idx="8">
                  <c:v>0.25010126776168207</c:v>
                </c:pt>
                <c:pt idx="9">
                  <c:v>0.25882403752942085</c:v>
                </c:pt>
              </c:numCache>
            </c:numRef>
          </c:val>
          <c:extLst>
            <c:ext xmlns:c16="http://schemas.microsoft.com/office/drawing/2014/chart" uri="{C3380CC4-5D6E-409C-BE32-E72D297353CC}">
              <c16:uniqueId val="{00000000-2922-4C7C-9591-AC5F7D6B524D}"/>
            </c:ext>
          </c:extLst>
        </c:ser>
        <c:dLbls>
          <c:showLegendKey val="0"/>
          <c:showVal val="0"/>
          <c:showCatName val="0"/>
          <c:showSerName val="0"/>
          <c:showPercent val="0"/>
          <c:showBubbleSize val="0"/>
        </c:dLbls>
        <c:gapWidth val="150"/>
        <c:axId val="472451432"/>
        <c:axId val="472455696"/>
      </c:barChart>
      <c:lineChart>
        <c:grouping val="standard"/>
        <c:varyColors val="0"/>
        <c:ser>
          <c:idx val="0"/>
          <c:order val="0"/>
          <c:tx>
            <c:strRef>
              <c:f>Sheet1!$B$1</c:f>
              <c:strCache>
                <c:ptCount val="1"/>
                <c:pt idx="0">
                  <c:v>Course Completion Rate</c:v>
                </c:pt>
              </c:strCache>
            </c:strRef>
          </c:tx>
          <c:spPr>
            <a:ln w="28575" cap="rnd">
              <a:solidFill>
                <a:schemeClr val="accent1"/>
              </a:solidFill>
              <a:round/>
            </a:ln>
            <a:effectLst/>
          </c:spPr>
          <c:marker>
            <c:symbol val="none"/>
          </c:marker>
          <c:dLbls>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22-4C7C-9591-AC5F7D6B524D}"/>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Sheet1!$B$2:$B$11</c:f>
              <c:numCache>
                <c:formatCode>0.0%</c:formatCode>
                <c:ptCount val="10"/>
                <c:pt idx="0">
                  <c:v>0.77372860982849856</c:v>
                </c:pt>
                <c:pt idx="1">
                  <c:v>0.76373956856280389</c:v>
                </c:pt>
                <c:pt idx="2">
                  <c:v>0.77632655921338212</c:v>
                </c:pt>
                <c:pt idx="3">
                  <c:v>0.80585702526366776</c:v>
                </c:pt>
                <c:pt idx="4">
                  <c:v>0.82122257417833</c:v>
                </c:pt>
                <c:pt idx="5">
                  <c:v>0.84330045551395305</c:v>
                </c:pt>
                <c:pt idx="6">
                  <c:v>0.83335558382290764</c:v>
                </c:pt>
                <c:pt idx="7">
                  <c:v>0.83394467472911771</c:v>
                </c:pt>
                <c:pt idx="8">
                  <c:v>0.83422903797339432</c:v>
                </c:pt>
                <c:pt idx="9">
                  <c:v>0.79581467448049559</c:v>
                </c:pt>
              </c:numCache>
            </c:numRef>
          </c:val>
          <c:smooth val="0"/>
          <c:extLst>
            <c:ext xmlns:c16="http://schemas.microsoft.com/office/drawing/2014/chart" uri="{C3380CC4-5D6E-409C-BE32-E72D297353CC}">
              <c16:uniqueId val="{00000002-2922-4C7C-9591-AC5F7D6B524D}"/>
            </c:ext>
          </c:extLst>
        </c:ser>
        <c:ser>
          <c:idx val="1"/>
          <c:order val="1"/>
          <c:tx>
            <c:strRef>
              <c:f>Sheet1!$C$1</c:f>
              <c:strCache>
                <c:ptCount val="1"/>
                <c:pt idx="0">
                  <c:v>Qualification Completion Rate</c:v>
                </c:pt>
              </c:strCache>
            </c:strRef>
          </c:tx>
          <c:spPr>
            <a:ln w="28575" cap="rnd">
              <a:solidFill>
                <a:schemeClr val="accent2"/>
              </a:solidFill>
              <a:round/>
            </a:ln>
            <a:effectLst/>
          </c:spPr>
          <c:marker>
            <c:symbol val="none"/>
          </c:marker>
          <c:dLbls>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22-4C7C-9591-AC5F7D6B524D}"/>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Sheet1!$C$2:$C$11</c:f>
              <c:numCache>
                <c:formatCode>0.0%</c:formatCode>
                <c:ptCount val="10"/>
                <c:pt idx="0">
                  <c:v>0.47706625304675382</c:v>
                </c:pt>
                <c:pt idx="1">
                  <c:v>0.46504531163306823</c:v>
                </c:pt>
                <c:pt idx="2">
                  <c:v>0.43406113537117902</c:v>
                </c:pt>
                <c:pt idx="3">
                  <c:v>0.46670305676855889</c:v>
                </c:pt>
                <c:pt idx="4">
                  <c:v>0.43803095542883752</c:v>
                </c:pt>
                <c:pt idx="5">
                  <c:v>0.49151967435549521</c:v>
                </c:pt>
                <c:pt idx="6">
                  <c:v>0.55263432446531036</c:v>
                </c:pt>
                <c:pt idx="7">
                  <c:v>0.542285274386891</c:v>
                </c:pt>
                <c:pt idx="8">
                  <c:v>0.58412777021171225</c:v>
                </c:pt>
                <c:pt idx="9">
                  <c:v>0.53699063695107474</c:v>
                </c:pt>
              </c:numCache>
            </c:numRef>
          </c:val>
          <c:smooth val="0"/>
          <c:extLst>
            <c:ext xmlns:c16="http://schemas.microsoft.com/office/drawing/2014/chart" uri="{C3380CC4-5D6E-409C-BE32-E72D297353CC}">
              <c16:uniqueId val="{00000004-2922-4C7C-9591-AC5F7D6B524D}"/>
            </c:ext>
          </c:extLst>
        </c:ser>
        <c:dLbls>
          <c:showLegendKey val="0"/>
          <c:showVal val="0"/>
          <c:showCatName val="0"/>
          <c:showSerName val="0"/>
          <c:showPercent val="0"/>
          <c:showBubbleSize val="0"/>
        </c:dLbls>
        <c:marker val="1"/>
        <c:smooth val="0"/>
        <c:axId val="472451432"/>
        <c:axId val="472455696"/>
      </c:lineChart>
      <c:catAx>
        <c:axId val="47245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455696"/>
        <c:crosses val="autoZero"/>
        <c:auto val="1"/>
        <c:lblAlgn val="ctr"/>
        <c:lblOffset val="100"/>
        <c:noMultiLvlLbl val="0"/>
      </c:catAx>
      <c:valAx>
        <c:axId val="4724556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72451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200" dirty="0"/>
              <a:t>Course</a:t>
            </a:r>
            <a:r>
              <a:rPr lang="en-NZ" sz="1200" baseline="0" dirty="0"/>
              <a:t> vs Qualification Completion Variance by Intended Qualification</a:t>
            </a:r>
            <a:endParaRPr lang="en-NZ" sz="1200" dirty="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9868467783249987"/>
          <c:y val="0.15660777559055117"/>
          <c:w val="0.42387031869168945"/>
          <c:h val="0.67098375984251968"/>
        </c:manualLayout>
      </c:layout>
      <c:barChart>
        <c:barDir val="bar"/>
        <c:grouping val="clustered"/>
        <c:varyColors val="0"/>
        <c:ser>
          <c:idx val="0"/>
          <c:order val="0"/>
          <c:tx>
            <c:strRef>
              <c:f>Sheet1!$B$1</c:f>
              <c:strCache>
                <c:ptCount val="1"/>
                <c:pt idx="0">
                  <c:v>Universities</c:v>
                </c:pt>
              </c:strCache>
            </c:strRef>
          </c:tx>
          <c:spPr>
            <a:solidFill>
              <a:schemeClr val="accent1"/>
            </a:solidFill>
            <a:ln>
              <a:noFill/>
            </a:ln>
            <a:effectLst/>
          </c:spPr>
          <c:invertIfNegative val="0"/>
          <c:cat>
            <c:strRef>
              <c:f>Sheet1!$A$2:$A$13</c:f>
              <c:strCache>
                <c:ptCount val="12"/>
                <c:pt idx="0">
                  <c:v>12 - Mixed Field Programmes</c:v>
                </c:pt>
                <c:pt idx="1">
                  <c:v>11 - Food, Hospitality and Personal Services</c:v>
                </c:pt>
                <c:pt idx="2">
                  <c:v>10 - Creative Arts</c:v>
                </c:pt>
                <c:pt idx="3">
                  <c:v>09 - Society and Culture</c:v>
                </c:pt>
                <c:pt idx="4">
                  <c:v>08 - Management and Commerce</c:v>
                </c:pt>
                <c:pt idx="5">
                  <c:v>07 - Education</c:v>
                </c:pt>
                <c:pt idx="6">
                  <c:v>06 - Health</c:v>
                </c:pt>
                <c:pt idx="7">
                  <c:v>05 - Agriculture, Environmental and Related  Studies</c:v>
                </c:pt>
                <c:pt idx="8">
                  <c:v>04 - Architecture and Building</c:v>
                </c:pt>
                <c:pt idx="9">
                  <c:v>03 - Engineering and Related Technologies</c:v>
                </c:pt>
                <c:pt idx="10">
                  <c:v>02 - Information Technology</c:v>
                </c:pt>
                <c:pt idx="11">
                  <c:v>01 - Natural and Physical Sciences</c:v>
                </c:pt>
              </c:strCache>
            </c:strRef>
          </c:cat>
          <c:val>
            <c:numRef>
              <c:f>Sheet1!$B$2:$B$13</c:f>
              <c:numCache>
                <c:formatCode>0%</c:formatCode>
                <c:ptCount val="12"/>
                <c:pt idx="0">
                  <c:v>0.26529301981617581</c:v>
                </c:pt>
                <c:pt idx="1">
                  <c:v>0.19952342723250849</c:v>
                </c:pt>
                <c:pt idx="2">
                  <c:v>0.21530744743597019</c:v>
                </c:pt>
                <c:pt idx="3">
                  <c:v>0.26909895619084734</c:v>
                </c:pt>
                <c:pt idx="4">
                  <c:v>0.25767496647726473</c:v>
                </c:pt>
                <c:pt idx="5">
                  <c:v>0.20579339813920328</c:v>
                </c:pt>
                <c:pt idx="6">
                  <c:v>0.21934956150693097</c:v>
                </c:pt>
                <c:pt idx="7">
                  <c:v>0.30663134510231416</c:v>
                </c:pt>
                <c:pt idx="8">
                  <c:v>0.15493413373568155</c:v>
                </c:pt>
                <c:pt idx="9">
                  <c:v>0.25437397032164544</c:v>
                </c:pt>
                <c:pt idx="10">
                  <c:v>0.25570231600434412</c:v>
                </c:pt>
                <c:pt idx="11">
                  <c:v>0.1904449593538583</c:v>
                </c:pt>
              </c:numCache>
            </c:numRef>
          </c:val>
          <c:extLst>
            <c:ext xmlns:c16="http://schemas.microsoft.com/office/drawing/2014/chart" uri="{C3380CC4-5D6E-409C-BE32-E72D297353CC}">
              <c16:uniqueId val="{00000000-DF3D-4091-93AA-2D11D45D266F}"/>
            </c:ext>
          </c:extLst>
        </c:ser>
        <c:ser>
          <c:idx val="1"/>
          <c:order val="1"/>
          <c:tx>
            <c:strRef>
              <c:f>Sheet1!$C$1</c:f>
              <c:strCache>
                <c:ptCount val="1"/>
                <c:pt idx="0">
                  <c:v>ITP Sector</c:v>
                </c:pt>
              </c:strCache>
            </c:strRef>
          </c:tx>
          <c:spPr>
            <a:solidFill>
              <a:schemeClr val="accent2"/>
            </a:solidFill>
            <a:ln>
              <a:noFill/>
            </a:ln>
            <a:effectLst/>
          </c:spPr>
          <c:invertIfNegative val="0"/>
          <c:cat>
            <c:strRef>
              <c:f>Sheet1!$A$2:$A$13</c:f>
              <c:strCache>
                <c:ptCount val="12"/>
                <c:pt idx="0">
                  <c:v>12 - Mixed Field Programmes</c:v>
                </c:pt>
                <c:pt idx="1">
                  <c:v>11 - Food, Hospitality and Personal Services</c:v>
                </c:pt>
                <c:pt idx="2">
                  <c:v>10 - Creative Arts</c:v>
                </c:pt>
                <c:pt idx="3">
                  <c:v>09 - Society and Culture</c:v>
                </c:pt>
                <c:pt idx="4">
                  <c:v>08 - Management and Commerce</c:v>
                </c:pt>
                <c:pt idx="5">
                  <c:v>07 - Education</c:v>
                </c:pt>
                <c:pt idx="6">
                  <c:v>06 - Health</c:v>
                </c:pt>
                <c:pt idx="7">
                  <c:v>05 - Agriculture, Environmental and Related  Studies</c:v>
                </c:pt>
                <c:pt idx="8">
                  <c:v>04 - Architecture and Building</c:v>
                </c:pt>
                <c:pt idx="9">
                  <c:v>03 - Engineering and Related Technologies</c:v>
                </c:pt>
                <c:pt idx="10">
                  <c:v>02 - Information Technology</c:v>
                </c:pt>
                <c:pt idx="11">
                  <c:v>01 - Natural and Physical Sciences</c:v>
                </c:pt>
              </c:strCache>
            </c:strRef>
          </c:cat>
          <c:val>
            <c:numRef>
              <c:f>Sheet1!$C$2:$C$13</c:f>
              <c:numCache>
                <c:formatCode>0%</c:formatCode>
                <c:ptCount val="12"/>
                <c:pt idx="0">
                  <c:v>0.28841882948072028</c:v>
                </c:pt>
                <c:pt idx="1">
                  <c:v>0.14813798350306062</c:v>
                </c:pt>
                <c:pt idx="2">
                  <c:v>0.24983963168710566</c:v>
                </c:pt>
                <c:pt idx="3">
                  <c:v>0.21154018052734835</c:v>
                </c:pt>
                <c:pt idx="4">
                  <c:v>0.33800062071058812</c:v>
                </c:pt>
                <c:pt idx="5">
                  <c:v>0.33375113379665677</c:v>
                </c:pt>
                <c:pt idx="6">
                  <c:v>0.23453456940982353</c:v>
                </c:pt>
                <c:pt idx="7">
                  <c:v>0.32932290039321083</c:v>
                </c:pt>
                <c:pt idx="8">
                  <c:v>0.33691649167959087</c:v>
                </c:pt>
                <c:pt idx="9">
                  <c:v>0.26136139944010994</c:v>
                </c:pt>
                <c:pt idx="10">
                  <c:v>0.31630434770364035</c:v>
                </c:pt>
                <c:pt idx="11">
                  <c:v>0.43383092913733623</c:v>
                </c:pt>
              </c:numCache>
            </c:numRef>
          </c:val>
          <c:extLst>
            <c:ext xmlns:c16="http://schemas.microsoft.com/office/drawing/2014/chart" uri="{C3380CC4-5D6E-409C-BE32-E72D297353CC}">
              <c16:uniqueId val="{00000001-DF3D-4091-93AA-2D11D45D266F}"/>
            </c:ext>
          </c:extLst>
        </c:ser>
        <c:ser>
          <c:idx val="2"/>
          <c:order val="2"/>
          <c:tx>
            <c:strRef>
              <c:f>Sheet1!$D$1</c:f>
              <c:strCache>
                <c:ptCount val="1"/>
                <c:pt idx="0">
                  <c:v>Unitec</c:v>
                </c:pt>
              </c:strCache>
            </c:strRef>
          </c:tx>
          <c:spPr>
            <a:solidFill>
              <a:srgbClr val="298224"/>
            </a:solidFill>
            <a:ln>
              <a:noFill/>
            </a:ln>
            <a:effectLst/>
          </c:spPr>
          <c:invertIfNegative val="0"/>
          <c:cat>
            <c:strRef>
              <c:f>Sheet1!$A$2:$A$13</c:f>
              <c:strCache>
                <c:ptCount val="12"/>
                <c:pt idx="0">
                  <c:v>12 - Mixed Field Programmes</c:v>
                </c:pt>
                <c:pt idx="1">
                  <c:v>11 - Food, Hospitality and Personal Services</c:v>
                </c:pt>
                <c:pt idx="2">
                  <c:v>10 - Creative Arts</c:v>
                </c:pt>
                <c:pt idx="3">
                  <c:v>09 - Society and Culture</c:v>
                </c:pt>
                <c:pt idx="4">
                  <c:v>08 - Management and Commerce</c:v>
                </c:pt>
                <c:pt idx="5">
                  <c:v>07 - Education</c:v>
                </c:pt>
                <c:pt idx="6">
                  <c:v>06 - Health</c:v>
                </c:pt>
                <c:pt idx="7">
                  <c:v>05 - Agriculture, Environmental and Related  Studies</c:v>
                </c:pt>
                <c:pt idx="8">
                  <c:v>04 - Architecture and Building</c:v>
                </c:pt>
                <c:pt idx="9">
                  <c:v>03 - Engineering and Related Technologies</c:v>
                </c:pt>
                <c:pt idx="10">
                  <c:v>02 - Information Technology</c:v>
                </c:pt>
                <c:pt idx="11">
                  <c:v>01 - Natural and Physical Sciences</c:v>
                </c:pt>
              </c:strCache>
            </c:strRef>
          </c:cat>
          <c:val>
            <c:numRef>
              <c:f>Sheet1!$D$2:$D$13</c:f>
              <c:numCache>
                <c:formatCode>General</c:formatCode>
                <c:ptCount val="12"/>
                <c:pt idx="0" formatCode="0%">
                  <c:v>0.13228472167869632</c:v>
                </c:pt>
                <c:pt idx="2" formatCode="0%">
                  <c:v>0.25821335500908782</c:v>
                </c:pt>
                <c:pt idx="3" formatCode="0%">
                  <c:v>0.11615501519308724</c:v>
                </c:pt>
                <c:pt idx="4" formatCode="0%">
                  <c:v>0.19786198202834948</c:v>
                </c:pt>
                <c:pt idx="5" formatCode="0%">
                  <c:v>0.35653779418961606</c:v>
                </c:pt>
                <c:pt idx="6" formatCode="0%">
                  <c:v>0.16807483055574635</c:v>
                </c:pt>
                <c:pt idx="8" formatCode="0%">
                  <c:v>0.51993369998595185</c:v>
                </c:pt>
                <c:pt idx="9" formatCode="0%">
                  <c:v>0.12568812792946349</c:v>
                </c:pt>
                <c:pt idx="10" formatCode="0%">
                  <c:v>0.29429471224337211</c:v>
                </c:pt>
                <c:pt idx="11" formatCode="0%">
                  <c:v>0.27685441674361344</c:v>
                </c:pt>
              </c:numCache>
            </c:numRef>
          </c:val>
          <c:extLst>
            <c:ext xmlns:c16="http://schemas.microsoft.com/office/drawing/2014/chart" uri="{C3380CC4-5D6E-409C-BE32-E72D297353CC}">
              <c16:uniqueId val="{00000002-DF3D-4091-93AA-2D11D45D266F}"/>
            </c:ext>
          </c:extLst>
        </c:ser>
        <c:dLbls>
          <c:showLegendKey val="0"/>
          <c:showVal val="0"/>
          <c:showCatName val="0"/>
          <c:showSerName val="0"/>
          <c:showPercent val="0"/>
          <c:showBubbleSize val="0"/>
        </c:dLbls>
        <c:gapWidth val="182"/>
        <c:axId val="591230568"/>
        <c:axId val="591229912"/>
      </c:barChart>
      <c:catAx>
        <c:axId val="591230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91229912"/>
        <c:crosses val="autoZero"/>
        <c:auto val="1"/>
        <c:lblAlgn val="ctr"/>
        <c:lblOffset val="100"/>
        <c:noMultiLvlLbl val="0"/>
      </c:catAx>
      <c:valAx>
        <c:axId val="591229912"/>
        <c:scaling>
          <c:orientation val="minMax"/>
          <c:max val="0.60000000000000009"/>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91230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sz="1400" dirty="0"/>
              <a:t>1</a:t>
            </a:r>
            <a:r>
              <a:rPr lang="en-US" sz="1400" baseline="30000" dirty="0"/>
              <a:t>st</a:t>
            </a:r>
            <a:r>
              <a:rPr lang="en-US" sz="1400" dirty="0"/>
              <a:t> Year Retention Rate</a:t>
            </a: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Universities</c:v>
                </c:pt>
              </c:strCache>
            </c:strRef>
          </c:tx>
          <c:spPr>
            <a:ln w="28575" cap="rnd">
              <a:solidFill>
                <a:schemeClr val="accent1"/>
              </a:solidFill>
              <a:round/>
            </a:ln>
            <a:effectLst/>
          </c:spPr>
          <c:marker>
            <c:symbol val="none"/>
          </c:marker>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Sheet1!$B$2:$B$10</c:f>
              <c:numCache>
                <c:formatCode>0.0%</c:formatCode>
                <c:ptCount val="9"/>
                <c:pt idx="0">
                  <c:v>0.7402417036206812</c:v>
                </c:pt>
                <c:pt idx="1">
                  <c:v>0.75072655217965656</c:v>
                </c:pt>
                <c:pt idx="2">
                  <c:v>0.74640405177265068</c:v>
                </c:pt>
                <c:pt idx="3">
                  <c:v>0.7581103195995379</c:v>
                </c:pt>
                <c:pt idx="4">
                  <c:v>0.75839020286061509</c:v>
                </c:pt>
                <c:pt idx="5">
                  <c:v>0.76353534649092214</c:v>
                </c:pt>
                <c:pt idx="6">
                  <c:v>0.77202145680406553</c:v>
                </c:pt>
                <c:pt idx="7">
                  <c:v>0.78077281525557385</c:v>
                </c:pt>
                <c:pt idx="8">
                  <c:v>0.7840698536223828</c:v>
                </c:pt>
              </c:numCache>
            </c:numRef>
          </c:val>
          <c:smooth val="0"/>
          <c:extLst>
            <c:ext xmlns:c16="http://schemas.microsoft.com/office/drawing/2014/chart" uri="{C3380CC4-5D6E-409C-BE32-E72D297353CC}">
              <c16:uniqueId val="{00000000-3EE1-4D8E-84F3-1F3A692A4BA3}"/>
            </c:ext>
          </c:extLst>
        </c:ser>
        <c:ser>
          <c:idx val="1"/>
          <c:order val="1"/>
          <c:tx>
            <c:strRef>
              <c:f>Sheet1!$C$1</c:f>
              <c:strCache>
                <c:ptCount val="1"/>
                <c:pt idx="0">
                  <c:v>ITPs</c:v>
                </c:pt>
              </c:strCache>
            </c:strRef>
          </c:tx>
          <c:spPr>
            <a:ln w="28575" cap="rnd">
              <a:solidFill>
                <a:schemeClr val="accent2"/>
              </a:solidFill>
              <a:round/>
            </a:ln>
            <a:effectLst/>
          </c:spPr>
          <c:marker>
            <c:symbol val="none"/>
          </c:marker>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Sheet1!$C$2:$C$10</c:f>
              <c:numCache>
                <c:formatCode>0.0%</c:formatCode>
                <c:ptCount val="9"/>
                <c:pt idx="0">
                  <c:v>0.50726348750064165</c:v>
                </c:pt>
                <c:pt idx="1">
                  <c:v>0.5510292420161601</c:v>
                </c:pt>
                <c:pt idx="2">
                  <c:v>0.5703067121054971</c:v>
                </c:pt>
                <c:pt idx="3">
                  <c:v>0.59232699892434559</c:v>
                </c:pt>
                <c:pt idx="4">
                  <c:v>0.61356565028002485</c:v>
                </c:pt>
                <c:pt idx="5">
                  <c:v>0.6125021486277431</c:v>
                </c:pt>
                <c:pt idx="6">
                  <c:v>0.64828648001368538</c:v>
                </c:pt>
                <c:pt idx="7">
                  <c:v>0.58640604175921818</c:v>
                </c:pt>
                <c:pt idx="8">
                  <c:v>0.61630857722889532</c:v>
                </c:pt>
              </c:numCache>
            </c:numRef>
          </c:val>
          <c:smooth val="0"/>
          <c:extLst>
            <c:ext xmlns:c16="http://schemas.microsoft.com/office/drawing/2014/chart" uri="{C3380CC4-5D6E-409C-BE32-E72D297353CC}">
              <c16:uniqueId val="{00000001-3EE1-4D8E-84F3-1F3A692A4BA3}"/>
            </c:ext>
          </c:extLst>
        </c:ser>
        <c:ser>
          <c:idx val="2"/>
          <c:order val="2"/>
          <c:tx>
            <c:strRef>
              <c:f>Sheet1!$D$1</c:f>
              <c:strCache>
                <c:ptCount val="1"/>
                <c:pt idx="0">
                  <c:v>Unitec</c:v>
                </c:pt>
              </c:strCache>
            </c:strRef>
          </c:tx>
          <c:spPr>
            <a:ln w="28575" cap="rnd">
              <a:solidFill>
                <a:srgbClr val="298224"/>
              </a:solidFill>
              <a:round/>
            </a:ln>
            <a:effectLst/>
          </c:spPr>
          <c:marker>
            <c:symbol val="none"/>
          </c:marker>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Sheet1!$D$2:$D$10</c:f>
              <c:numCache>
                <c:formatCode>0.0%</c:formatCode>
                <c:ptCount val="9"/>
                <c:pt idx="0">
                  <c:v>0.67514411664971175</c:v>
                </c:pt>
                <c:pt idx="1">
                  <c:v>0.71378402107111505</c:v>
                </c:pt>
                <c:pt idx="2">
                  <c:v>0.70901889092017067</c:v>
                </c:pt>
                <c:pt idx="3">
                  <c:v>0.67137809187279152</c:v>
                </c:pt>
                <c:pt idx="4">
                  <c:v>0.69668100799016597</c:v>
                </c:pt>
                <c:pt idx="5">
                  <c:v>0.68938656280428434</c:v>
                </c:pt>
                <c:pt idx="6">
                  <c:v>0.72192671394799057</c:v>
                </c:pt>
                <c:pt idx="7">
                  <c:v>0.6708978328173375</c:v>
                </c:pt>
                <c:pt idx="8">
                  <c:v>0.71439811172305268</c:v>
                </c:pt>
              </c:numCache>
            </c:numRef>
          </c:val>
          <c:smooth val="0"/>
          <c:extLst>
            <c:ext xmlns:c16="http://schemas.microsoft.com/office/drawing/2014/chart" uri="{C3380CC4-5D6E-409C-BE32-E72D297353CC}">
              <c16:uniqueId val="{00000002-3EE1-4D8E-84F3-1F3A692A4BA3}"/>
            </c:ext>
          </c:extLst>
        </c:ser>
        <c:dLbls>
          <c:showLegendKey val="0"/>
          <c:showVal val="0"/>
          <c:showCatName val="0"/>
          <c:showSerName val="0"/>
          <c:showPercent val="0"/>
          <c:showBubbleSize val="0"/>
        </c:dLbls>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4418137455768234"/>
          <c:y val="0.46203665930036403"/>
          <c:w val="0.54068280776022426"/>
          <c:h val="8.187212245598726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100" dirty="0"/>
              <a:t>1</a:t>
            </a:r>
            <a:r>
              <a:rPr lang="en-NZ" sz="1100" baseline="30000" dirty="0"/>
              <a:t>st</a:t>
            </a:r>
            <a:r>
              <a:rPr lang="en-NZ" sz="1100" dirty="0"/>
              <a:t> Year Retention - Māori</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5.9878064754283811E-2</c:v>
                </c:pt>
                <c:pt idx="1">
                  <c:v>0.10867902575904054</c:v>
                </c:pt>
                <c:pt idx="2">
                  <c:v>0.14191415564708432</c:v>
                </c:pt>
                <c:pt idx="3">
                  <c:v>9.9233943916779754E-2</c:v>
                </c:pt>
                <c:pt idx="4">
                  <c:v>5.4328534398784822E-2</c:v>
                </c:pt>
                <c:pt idx="5">
                  <c:v>9.1554585716859149E-2</c:v>
                </c:pt>
                <c:pt idx="6">
                  <c:v>3.2840829409996886E-2</c:v>
                </c:pt>
                <c:pt idx="7">
                  <c:v>8.8451261970872164E-2</c:v>
                </c:pt>
                <c:pt idx="8">
                  <c:v>0.11553092501368367</c:v>
                </c:pt>
                <c:pt idx="9">
                  <c:v>0.12700870073347226</c:v>
                </c:pt>
                <c:pt idx="10">
                  <c:v>0.10265700483091789</c:v>
                </c:pt>
              </c:numCache>
            </c:numRef>
          </c:val>
          <c:extLst>
            <c:ext xmlns:c16="http://schemas.microsoft.com/office/drawing/2014/chart" uri="{C3380CC4-5D6E-409C-BE32-E72D297353CC}">
              <c16:uniqueId val="{00000000-84F3-46D2-8E94-27BF3BBA43A6}"/>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Māori</c:v>
                </c:pt>
              </c:strCache>
            </c:strRef>
          </c:tx>
          <c:spPr>
            <a:ln w="28575" cap="rnd">
              <a:solidFill>
                <a:schemeClr val="accent1"/>
              </a:solidFill>
              <a:round/>
            </a:ln>
            <a:effectLst/>
          </c:spPr>
          <c:marker>
            <c:symbol val="none"/>
          </c:marker>
          <c:dLbls>
            <c:dLbl>
              <c:idx val="10"/>
              <c:layout>
                <c:manualLayout>
                  <c:x val="-0.10189147677108187"/>
                  <c:y val="-3.75794998084652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F3-46D2-8E94-27BF3BBA43A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c:formatCode>
                <c:ptCount val="11"/>
                <c:pt idx="0">
                  <c:v>0.60752688172043012</c:v>
                </c:pt>
                <c:pt idx="1">
                  <c:v>0.57073170731707312</c:v>
                </c:pt>
                <c:pt idx="2">
                  <c:v>0.57857142857142863</c:v>
                </c:pt>
                <c:pt idx="3">
                  <c:v>0.61194029850746268</c:v>
                </c:pt>
                <c:pt idx="4">
                  <c:v>0.61824324324324331</c:v>
                </c:pt>
                <c:pt idx="5">
                  <c:v>0.60854092526690395</c:v>
                </c:pt>
                <c:pt idx="6">
                  <c:v>0.66044776119402981</c:v>
                </c:pt>
                <c:pt idx="7">
                  <c:v>0.64026402640264024</c:v>
                </c:pt>
                <c:pt idx="8">
                  <c:v>0.56071428571428572</c:v>
                </c:pt>
                <c:pt idx="9">
                  <c:v>0.58878504672897192</c:v>
                </c:pt>
                <c:pt idx="10">
                  <c:v>0.61956521739130432</c:v>
                </c:pt>
              </c:numCache>
            </c:numRef>
          </c:val>
          <c:smooth val="0"/>
          <c:extLst>
            <c:ext xmlns:c16="http://schemas.microsoft.com/office/drawing/2014/chart" uri="{C3380CC4-5D6E-409C-BE32-E72D297353CC}">
              <c16:uniqueId val="{00000002-84F3-46D2-8E94-27BF3BBA43A6}"/>
            </c:ext>
          </c:extLst>
        </c:ser>
        <c:ser>
          <c:idx val="1"/>
          <c:order val="1"/>
          <c:tx>
            <c:strRef>
              <c:f>Sheet1!$C$1</c:f>
              <c:strCache>
                <c:ptCount val="1"/>
                <c:pt idx="0">
                  <c:v>Non-Māori</c:v>
                </c:pt>
              </c:strCache>
            </c:strRef>
          </c:tx>
          <c:spPr>
            <a:ln w="28575" cap="rnd">
              <a:solidFill>
                <a:schemeClr val="accent2"/>
              </a:solidFill>
              <a:round/>
            </a:ln>
            <a:effectLst/>
          </c:spPr>
          <c:marker>
            <c:symbol val="none"/>
          </c:marker>
          <c:dLbls>
            <c:dLbl>
              <c:idx val="10"/>
              <c:layout>
                <c:manualLayout>
                  <c:x val="-9.0308028515348526E-2"/>
                  <c:y val="-4.30396367246229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F3-46D2-8E94-27BF3BBA43A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0.0%</c:formatCode>
                <c:ptCount val="11"/>
                <c:pt idx="0">
                  <c:v>0.66740494647471393</c:v>
                </c:pt>
                <c:pt idx="1">
                  <c:v>0.67941073307611366</c:v>
                </c:pt>
                <c:pt idx="2">
                  <c:v>0.72048558421851294</c:v>
                </c:pt>
                <c:pt idx="3">
                  <c:v>0.71117424242424243</c:v>
                </c:pt>
                <c:pt idx="4">
                  <c:v>0.67257177764202813</c:v>
                </c:pt>
                <c:pt idx="5">
                  <c:v>0.7000955109837631</c:v>
                </c:pt>
                <c:pt idx="6">
                  <c:v>0.6932885906040267</c:v>
                </c:pt>
                <c:pt idx="7">
                  <c:v>0.7287152883735124</c:v>
                </c:pt>
                <c:pt idx="8">
                  <c:v>0.67624521072796939</c:v>
                </c:pt>
                <c:pt idx="9">
                  <c:v>0.71579374746244417</c:v>
                </c:pt>
                <c:pt idx="10">
                  <c:v>0.72222222222222221</c:v>
                </c:pt>
              </c:numCache>
            </c:numRef>
          </c:val>
          <c:smooth val="0"/>
          <c:extLst>
            <c:ext xmlns:c16="http://schemas.microsoft.com/office/drawing/2014/chart" uri="{C3380CC4-5D6E-409C-BE32-E72D297353CC}">
              <c16:uniqueId val="{00000004-84F3-46D2-8E94-27BF3BBA43A6}"/>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200" b="0" i="0" u="none" strike="noStrike" baseline="0" dirty="0">
                <a:effectLst/>
              </a:rPr>
              <a:t>1</a:t>
            </a:r>
            <a:r>
              <a:rPr lang="en-NZ" sz="1200" b="0" i="0" u="none" strike="noStrike" baseline="30000" dirty="0">
                <a:effectLst/>
              </a:rPr>
              <a:t>st</a:t>
            </a:r>
            <a:r>
              <a:rPr lang="en-NZ" sz="1200" b="0" i="0" u="none" strike="noStrike" baseline="0" dirty="0">
                <a:effectLst/>
              </a:rPr>
              <a:t> Year Retention </a:t>
            </a:r>
            <a:r>
              <a:rPr lang="en-NZ" sz="1100" dirty="0"/>
              <a:t>- Pacific</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-0.13920371984888102</c:v>
                </c:pt>
                <c:pt idx="1">
                  <c:v>-0.11023648071115144</c:v>
                </c:pt>
                <c:pt idx="2">
                  <c:v>-0.12600137497110042</c:v>
                </c:pt>
                <c:pt idx="3">
                  <c:v>-0.13330529120002799</c:v>
                </c:pt>
                <c:pt idx="4">
                  <c:v>-8.9525992095970786E-2</c:v>
                </c:pt>
                <c:pt idx="5">
                  <c:v>-4.0607598273419199E-2</c:v>
                </c:pt>
                <c:pt idx="6">
                  <c:v>-9.3920948844646523E-2</c:v>
                </c:pt>
                <c:pt idx="7">
                  <c:v>-3.699496113957057E-2</c:v>
                </c:pt>
                <c:pt idx="8">
                  <c:v>-6.1417869237798794E-2</c:v>
                </c:pt>
                <c:pt idx="9">
                  <c:v>-0.13605042674810108</c:v>
                </c:pt>
                <c:pt idx="10">
                  <c:v>-0.17167828418230557</c:v>
                </c:pt>
              </c:numCache>
            </c:numRef>
          </c:val>
          <c:extLst>
            <c:ext xmlns:c16="http://schemas.microsoft.com/office/drawing/2014/chart" uri="{C3380CC4-5D6E-409C-BE32-E72D297353CC}">
              <c16:uniqueId val="{00000000-50C5-4189-957E-8FC9EC7BEFBA}"/>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Pacific</c:v>
                </c:pt>
              </c:strCache>
            </c:strRef>
          </c:tx>
          <c:spPr>
            <a:ln w="28575" cap="rnd">
              <a:solidFill>
                <a:schemeClr val="accent1"/>
              </a:solidFill>
              <a:round/>
            </a:ln>
            <a:effectLst/>
          </c:spPr>
          <c:marker>
            <c:symbol val="none"/>
          </c:marker>
          <c:dLbls>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C5-4189-957E-8FC9EC7BEFB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c:formatCode>
                <c:ptCount val="11"/>
                <c:pt idx="0">
                  <c:v>0.53667953667953672</c:v>
                </c:pt>
                <c:pt idx="1">
                  <c:v>0.57453416149068326</c:v>
                </c:pt>
                <c:pt idx="2">
                  <c:v>0.60095011876484561</c:v>
                </c:pt>
                <c:pt idx="3">
                  <c:v>0.58897243107769426</c:v>
                </c:pt>
                <c:pt idx="4">
                  <c:v>0.59024390243902436</c:v>
                </c:pt>
                <c:pt idx="5">
                  <c:v>0.65806451612903227</c:v>
                </c:pt>
                <c:pt idx="6">
                  <c:v>0.60092807424593964</c:v>
                </c:pt>
                <c:pt idx="7">
                  <c:v>0.68831168831168832</c:v>
                </c:pt>
                <c:pt idx="8">
                  <c:v>0.62020905923344949</c:v>
                </c:pt>
                <c:pt idx="9">
                  <c:v>0.59090909090909094</c:v>
                </c:pt>
                <c:pt idx="10">
                  <c:v>0.56032171581769441</c:v>
                </c:pt>
              </c:numCache>
            </c:numRef>
          </c:val>
          <c:smooth val="0"/>
          <c:extLst>
            <c:ext xmlns:c16="http://schemas.microsoft.com/office/drawing/2014/chart" uri="{C3380CC4-5D6E-409C-BE32-E72D297353CC}">
              <c16:uniqueId val="{00000002-50C5-4189-957E-8FC9EC7BEFBA}"/>
            </c:ext>
          </c:extLst>
        </c:ser>
        <c:ser>
          <c:idx val="1"/>
          <c:order val="1"/>
          <c:tx>
            <c:strRef>
              <c:f>Sheet1!$C$1</c:f>
              <c:strCache>
                <c:ptCount val="1"/>
                <c:pt idx="0">
                  <c:v>Non-Pacific</c:v>
                </c:pt>
              </c:strCache>
            </c:strRef>
          </c:tx>
          <c:spPr>
            <a:ln w="28575" cap="rnd">
              <a:solidFill>
                <a:schemeClr val="accent2"/>
              </a:solidFill>
              <a:round/>
            </a:ln>
            <a:effectLst/>
          </c:spPr>
          <c:marker>
            <c:symbol val="none"/>
          </c:marker>
          <c:dLbls>
            <c:dLbl>
              <c:idx val="10"/>
              <c:layout>
                <c:manualLayout>
                  <c:x val="-0.12424707586337733"/>
                  <c:y val="-3.34022801015843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C5-4189-957E-8FC9EC7BEFB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0.0%</c:formatCode>
                <c:ptCount val="11"/>
                <c:pt idx="0">
                  <c:v>0.67588325652841774</c:v>
                </c:pt>
                <c:pt idx="1">
                  <c:v>0.6847706422018347</c:v>
                </c:pt>
                <c:pt idx="2">
                  <c:v>0.72695149373594603</c:v>
                </c:pt>
                <c:pt idx="3">
                  <c:v>0.72227772227772225</c:v>
                </c:pt>
                <c:pt idx="4">
                  <c:v>0.67976989453499514</c:v>
                </c:pt>
                <c:pt idx="5">
                  <c:v>0.69867211440245147</c:v>
                </c:pt>
                <c:pt idx="6">
                  <c:v>0.69484902309058616</c:v>
                </c:pt>
                <c:pt idx="7">
                  <c:v>0.72530664945125889</c:v>
                </c:pt>
                <c:pt idx="8">
                  <c:v>0.68162692847124828</c:v>
                </c:pt>
                <c:pt idx="9">
                  <c:v>0.72695951765719202</c:v>
                </c:pt>
                <c:pt idx="10">
                  <c:v>0.73199999999999998</c:v>
                </c:pt>
              </c:numCache>
            </c:numRef>
          </c:val>
          <c:smooth val="0"/>
          <c:extLst>
            <c:ext xmlns:c16="http://schemas.microsoft.com/office/drawing/2014/chart" uri="{C3380CC4-5D6E-409C-BE32-E72D297353CC}">
              <c16:uniqueId val="{00000004-50C5-4189-957E-8FC9EC7BEFBA}"/>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200" b="0" i="0" u="none" strike="noStrike" baseline="0" dirty="0">
                <a:effectLst/>
              </a:rPr>
              <a:t>1</a:t>
            </a:r>
            <a:r>
              <a:rPr lang="en-NZ" sz="1200" b="0" i="0" u="none" strike="noStrike" baseline="30000" dirty="0">
                <a:effectLst/>
              </a:rPr>
              <a:t>st</a:t>
            </a:r>
            <a:r>
              <a:rPr lang="en-NZ" sz="1200" b="0" i="0" u="none" strike="noStrike" baseline="0" dirty="0">
                <a:effectLst/>
              </a:rPr>
              <a:t> Year Retention </a:t>
            </a:r>
            <a:r>
              <a:rPr lang="en-NZ" sz="1100" dirty="0"/>
              <a:t>– Under 25yrs</a:t>
            </a:r>
          </a:p>
        </c:rich>
      </c:tx>
      <c:layout>
        <c:manualLayout>
          <c:xMode val="edge"/>
          <c:yMode val="edge"/>
          <c:x val="0.12741838685433676"/>
          <c:y val="2.730068458078831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421148640267349"/>
          <c:y val="0.19580050981341379"/>
          <c:w val="0.670420798400572"/>
          <c:h val="0.38659317121742565"/>
        </c:manualLayout>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0.1706881271847549</c:v>
                </c:pt>
                <c:pt idx="1">
                  <c:v>0.14702435611526521</c:v>
                </c:pt>
                <c:pt idx="2">
                  <c:v>7.1750315030249756E-2</c:v>
                </c:pt>
                <c:pt idx="3">
                  <c:v>7.4620989827856032E-2</c:v>
                </c:pt>
                <c:pt idx="4">
                  <c:v>-1.62158071688282E-2</c:v>
                </c:pt>
                <c:pt idx="5">
                  <c:v>1.3687209591372151E-2</c:v>
                </c:pt>
                <c:pt idx="6">
                  <c:v>-1.310476622026957E-2</c:v>
                </c:pt>
                <c:pt idx="7">
                  <c:v>9.8682382765320487E-3</c:v>
                </c:pt>
                <c:pt idx="8">
                  <c:v>1.1454162844655391E-2</c:v>
                </c:pt>
                <c:pt idx="9">
                  <c:v>3.0711902417678627E-2</c:v>
                </c:pt>
                <c:pt idx="10">
                  <c:v>4.3151356652500805E-2</c:v>
                </c:pt>
              </c:numCache>
            </c:numRef>
          </c:val>
          <c:extLst>
            <c:ext xmlns:c16="http://schemas.microsoft.com/office/drawing/2014/chart" uri="{C3380CC4-5D6E-409C-BE32-E72D297353CC}">
              <c16:uniqueId val="{00000000-6B8E-4141-94E1-7F20173C71A3}"/>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Under 25yrs</c:v>
                </c:pt>
              </c:strCache>
            </c:strRef>
          </c:tx>
          <c:spPr>
            <a:ln w="28575" cap="rnd">
              <a:solidFill>
                <a:schemeClr val="accent1"/>
              </a:solidFill>
              <a:round/>
            </a:ln>
            <a:effectLst/>
          </c:spPr>
          <c:marker>
            <c:symbol val="none"/>
          </c:marker>
          <c:dLbls>
            <c:dLbl>
              <c:idx val="10"/>
              <c:layout>
                <c:manualLayout>
                  <c:x val="-0.11240733241395413"/>
                  <c:y val="-3.21193628923076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8E-4141-94E1-7F20173C71A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c:formatCode>
                <c:ptCount val="11"/>
                <c:pt idx="0">
                  <c:v>0.7355271176112127</c:v>
                </c:pt>
                <c:pt idx="1">
                  <c:v>0.73168044077134986</c:v>
                </c:pt>
                <c:pt idx="2">
                  <c:v>0.73753280839894997</c:v>
                </c:pt>
                <c:pt idx="3">
                  <c:v>0.73521126760563382</c:v>
                </c:pt>
                <c:pt idx="4">
                  <c:v>0.66623544631306597</c:v>
                </c:pt>
                <c:pt idx="5">
                  <c:v>0.70124481327800814</c:v>
                </c:pt>
                <c:pt idx="6">
                  <c:v>0.68532455315145813</c:v>
                </c:pt>
                <c:pt idx="7">
                  <c:v>0.72486327303323517</c:v>
                </c:pt>
                <c:pt idx="8">
                  <c:v>0.67470997679814382</c:v>
                </c:pt>
                <c:pt idx="9">
                  <c:v>0.72503008423586046</c:v>
                </c:pt>
                <c:pt idx="10">
                  <c:v>0.73308270676691734</c:v>
                </c:pt>
              </c:numCache>
            </c:numRef>
          </c:val>
          <c:smooth val="0"/>
          <c:extLst>
            <c:ext xmlns:c16="http://schemas.microsoft.com/office/drawing/2014/chart" uri="{C3380CC4-5D6E-409C-BE32-E72D297353CC}">
              <c16:uniqueId val="{00000002-6B8E-4141-94E1-7F20173C71A3}"/>
            </c:ext>
          </c:extLst>
        </c:ser>
        <c:ser>
          <c:idx val="1"/>
          <c:order val="1"/>
          <c:tx>
            <c:strRef>
              <c:f>Sheet1!$C$1</c:f>
              <c:strCache>
                <c:ptCount val="1"/>
                <c:pt idx="0">
                  <c:v>25+yrs</c:v>
                </c:pt>
              </c:strCache>
            </c:strRef>
          </c:tx>
          <c:spPr>
            <a:ln w="28575" cap="rnd">
              <a:solidFill>
                <a:schemeClr val="accent2"/>
              </a:solidFill>
              <a:round/>
            </a:ln>
            <a:effectLst/>
          </c:spPr>
          <c:marker>
            <c:symbol val="none"/>
          </c:marker>
          <c:dLbls>
            <c:dLbl>
              <c:idx val="10"/>
              <c:layout>
                <c:manualLayout>
                  <c:x val="-0.10661560828608756"/>
                  <c:y val="3.2119362892307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8E-4141-94E1-7F20173C71A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0.0%</c:formatCode>
                <c:ptCount val="11"/>
                <c:pt idx="0">
                  <c:v>0.5648389904264578</c:v>
                </c:pt>
                <c:pt idx="1">
                  <c:v>0.58465608465608465</c:v>
                </c:pt>
                <c:pt idx="2">
                  <c:v>0.66578249336870021</c:v>
                </c:pt>
                <c:pt idx="3">
                  <c:v>0.66059027777777779</c:v>
                </c:pt>
                <c:pt idx="4">
                  <c:v>0.68245125348189417</c:v>
                </c:pt>
                <c:pt idx="5">
                  <c:v>0.68755760368663599</c:v>
                </c:pt>
                <c:pt idx="6">
                  <c:v>0.6984293193717277</c:v>
                </c:pt>
                <c:pt idx="7">
                  <c:v>0.71499503475670312</c:v>
                </c:pt>
                <c:pt idx="8">
                  <c:v>0.66325581395348843</c:v>
                </c:pt>
                <c:pt idx="9">
                  <c:v>0.69431818181818183</c:v>
                </c:pt>
                <c:pt idx="10">
                  <c:v>0.68993135011441653</c:v>
                </c:pt>
              </c:numCache>
            </c:numRef>
          </c:val>
          <c:smooth val="0"/>
          <c:extLst>
            <c:ext xmlns:c16="http://schemas.microsoft.com/office/drawing/2014/chart" uri="{C3380CC4-5D6E-409C-BE32-E72D297353CC}">
              <c16:uniqueId val="{00000004-6B8E-4141-94E1-7F20173C71A3}"/>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layout>
        <c:manualLayout>
          <c:xMode val="edge"/>
          <c:yMode val="edge"/>
          <c:x val="5.000009416426391E-2"/>
          <c:y val="0.78456809278150574"/>
          <c:w val="0.89999981167147214"/>
          <c:h val="9.875976726284418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200" b="0" i="0" u="none" strike="noStrike" baseline="0" dirty="0">
                <a:effectLst/>
              </a:rPr>
              <a:t>1</a:t>
            </a:r>
            <a:r>
              <a:rPr lang="en-NZ" sz="1200" b="0" i="0" u="none" strike="noStrike" baseline="30000" dirty="0">
                <a:effectLst/>
              </a:rPr>
              <a:t>st</a:t>
            </a:r>
            <a:r>
              <a:rPr lang="en-NZ" sz="1200" b="0" i="0" u="none" strike="noStrike" baseline="0" dirty="0">
                <a:effectLst/>
              </a:rPr>
              <a:t> Year Retention </a:t>
            </a:r>
            <a:r>
              <a:rPr lang="en-NZ" sz="1100" dirty="0"/>
              <a:t>- International</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421148640267349"/>
          <c:y val="0.20126064672957145"/>
          <c:w val="0.640872972440514"/>
          <c:h val="0.38113303430126799"/>
        </c:manualLayout>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0.21311599981885465</c:v>
                </c:pt>
                <c:pt idx="1">
                  <c:v>0.14824672020530527</c:v>
                </c:pt>
                <c:pt idx="2">
                  <c:v>0.15242614733555204</c:v>
                </c:pt>
                <c:pt idx="3">
                  <c:v>0.12943491360757553</c:v>
                </c:pt>
                <c:pt idx="4">
                  <c:v>4.9541154544812116E-3</c:v>
                </c:pt>
                <c:pt idx="5">
                  <c:v>6.9154816716239464E-2</c:v>
                </c:pt>
                <c:pt idx="6">
                  <c:v>5.391041126990137E-2</c:v>
                </c:pt>
                <c:pt idx="7">
                  <c:v>7.0427699365597896E-2</c:v>
                </c:pt>
                <c:pt idx="8">
                  <c:v>9.5201799976612711E-2</c:v>
                </c:pt>
                <c:pt idx="9">
                  <c:v>0.20548752136322512</c:v>
                </c:pt>
                <c:pt idx="10">
                  <c:v>0.18422289723005714</c:v>
                </c:pt>
              </c:numCache>
            </c:numRef>
          </c:val>
          <c:extLst>
            <c:ext xmlns:c16="http://schemas.microsoft.com/office/drawing/2014/chart" uri="{C3380CC4-5D6E-409C-BE32-E72D297353CC}">
              <c16:uniqueId val="{00000000-3E09-4502-AFDE-9245345F5883}"/>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International</c:v>
                </c:pt>
              </c:strCache>
            </c:strRef>
          </c:tx>
          <c:spPr>
            <a:ln w="28575" cap="rnd">
              <a:solidFill>
                <a:schemeClr val="accent1"/>
              </a:solidFill>
              <a:round/>
            </a:ln>
            <a:effectLst/>
          </c:spPr>
          <c:marker>
            <c:symbol val="none"/>
          </c:marker>
          <c:dLbls>
            <c:dLbl>
              <c:idx val="10"/>
              <c:layout>
                <c:manualLayout>
                  <c:x val="-0.10687190347977731"/>
                  <c:y val="-5.39599105569382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09-4502-AFDE-9245345F588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c:formatCode>
                <c:ptCount val="11"/>
                <c:pt idx="0">
                  <c:v>0.83305227655986513</c:v>
                </c:pt>
                <c:pt idx="1">
                  <c:v>0.79473684210526319</c:v>
                </c:pt>
                <c:pt idx="2">
                  <c:v>0.82807017543859651</c:v>
                </c:pt>
                <c:pt idx="3">
                  <c:v>0.80769230769230771</c:v>
                </c:pt>
                <c:pt idx="4">
                  <c:v>0.67505720823798632</c:v>
                </c:pt>
                <c:pt idx="5">
                  <c:v>0.7503429355281207</c:v>
                </c:pt>
                <c:pt idx="6">
                  <c:v>0.73050615595075241</c:v>
                </c:pt>
                <c:pt idx="7">
                  <c:v>0.77016885553470915</c:v>
                </c:pt>
                <c:pt idx="8">
                  <c:v>0.73889490790899237</c:v>
                </c:pt>
                <c:pt idx="9">
                  <c:v>0.86443148688046645</c:v>
                </c:pt>
                <c:pt idx="10">
                  <c:v>0.85606060606060608</c:v>
                </c:pt>
              </c:numCache>
            </c:numRef>
          </c:val>
          <c:smooth val="0"/>
          <c:extLst>
            <c:ext xmlns:c16="http://schemas.microsoft.com/office/drawing/2014/chart" uri="{C3380CC4-5D6E-409C-BE32-E72D297353CC}">
              <c16:uniqueId val="{00000002-3E09-4502-AFDE-9245345F5883}"/>
            </c:ext>
          </c:extLst>
        </c:ser>
        <c:ser>
          <c:idx val="1"/>
          <c:order val="1"/>
          <c:tx>
            <c:strRef>
              <c:f>Sheet1!$C$1</c:f>
              <c:strCache>
                <c:ptCount val="1"/>
                <c:pt idx="0">
                  <c:v>Domestic</c:v>
                </c:pt>
              </c:strCache>
            </c:strRef>
          </c:tx>
          <c:spPr>
            <a:ln w="28575" cap="rnd">
              <a:solidFill>
                <a:schemeClr val="accent2"/>
              </a:solidFill>
              <a:round/>
            </a:ln>
            <a:effectLst/>
          </c:spPr>
          <c:marker>
            <c:symbol val="none"/>
          </c:marker>
          <c:dLbls>
            <c:dLbl>
              <c:idx val="10"/>
              <c:layout>
                <c:manualLayout>
                  <c:x val="-0.10687190347977731"/>
                  <c:y val="-4.30396367246229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09-4502-AFDE-9245345F588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0.0%</c:formatCode>
                <c:ptCount val="11"/>
                <c:pt idx="0">
                  <c:v>0.61993627674101048</c:v>
                </c:pt>
                <c:pt idx="1">
                  <c:v>0.64649012189995791</c:v>
                </c:pt>
                <c:pt idx="2">
                  <c:v>0.67564402810304447</c:v>
                </c:pt>
                <c:pt idx="3">
                  <c:v>0.67825739408473218</c:v>
                </c:pt>
                <c:pt idx="4">
                  <c:v>0.67010309278350511</c:v>
                </c:pt>
                <c:pt idx="5">
                  <c:v>0.68118811881188124</c:v>
                </c:pt>
                <c:pt idx="6">
                  <c:v>0.67659574468085104</c:v>
                </c:pt>
                <c:pt idx="7">
                  <c:v>0.69974115616911126</c:v>
                </c:pt>
                <c:pt idx="8">
                  <c:v>0.64369310793237966</c:v>
                </c:pt>
                <c:pt idx="9">
                  <c:v>0.65894396551724133</c:v>
                </c:pt>
                <c:pt idx="10">
                  <c:v>0.67183770883054894</c:v>
                </c:pt>
              </c:numCache>
            </c:numRef>
          </c:val>
          <c:smooth val="0"/>
          <c:extLst>
            <c:ext xmlns:c16="http://schemas.microsoft.com/office/drawing/2014/chart" uri="{C3380CC4-5D6E-409C-BE32-E72D297353CC}">
              <c16:uniqueId val="{00000004-3E09-4502-AFDE-9245345F5883}"/>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min val="-0.2"/>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NZ"/>
              <a:t>Graduate Outcomes</a:t>
            </a:r>
          </a:p>
        </c:rich>
      </c:tx>
      <c:layout>
        <c:manualLayout>
          <c:xMode val="edge"/>
          <c:yMode val="edge"/>
          <c:x val="1.3191143314877817E-2"/>
          <c:y val="2.0592020592020591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Sheet1!$A$2</c:f>
              <c:strCache>
                <c:ptCount val="1"/>
                <c:pt idx="0">
                  <c:v>% GESC</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Sheet1!$B$1:$E$1</c:f>
              <c:strCache>
                <c:ptCount val="4"/>
                <c:pt idx="0">
                  <c:v>2016</c:v>
                </c:pt>
                <c:pt idx="1">
                  <c:v>2017</c:v>
                </c:pt>
                <c:pt idx="2">
                  <c:v>2018</c:v>
                </c:pt>
                <c:pt idx="3">
                  <c:v>2019</c:v>
                </c:pt>
              </c:strCache>
            </c:strRef>
          </c:cat>
          <c:val>
            <c:numRef>
              <c:f>Sheet1!$B$2:$E$2</c:f>
              <c:numCache>
                <c:formatCode>0%</c:formatCode>
                <c:ptCount val="4"/>
                <c:pt idx="0">
                  <c:v>0.85</c:v>
                </c:pt>
                <c:pt idx="1">
                  <c:v>0.86</c:v>
                </c:pt>
                <c:pt idx="2">
                  <c:v>0.85</c:v>
                </c:pt>
                <c:pt idx="3">
                  <c:v>0.82</c:v>
                </c:pt>
              </c:numCache>
            </c:numRef>
          </c:val>
          <c:smooth val="0"/>
          <c:extLst>
            <c:ext xmlns:c16="http://schemas.microsoft.com/office/drawing/2014/chart" uri="{C3380CC4-5D6E-409C-BE32-E72D297353CC}">
              <c16:uniqueId val="{00000000-19A1-4564-89B5-7806DA564AB1}"/>
            </c:ext>
          </c:extLst>
        </c:ser>
        <c:ser>
          <c:idx val="1"/>
          <c:order val="1"/>
          <c:tx>
            <c:strRef>
              <c:f>Sheet1!$A$3</c:f>
              <c:strCache>
                <c:ptCount val="1"/>
                <c:pt idx="0">
                  <c:v>% Employed</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Sheet1!$B$1:$E$1</c:f>
              <c:strCache>
                <c:ptCount val="4"/>
                <c:pt idx="0">
                  <c:v>2016</c:v>
                </c:pt>
                <c:pt idx="1">
                  <c:v>2017</c:v>
                </c:pt>
                <c:pt idx="2">
                  <c:v>2018</c:v>
                </c:pt>
                <c:pt idx="3">
                  <c:v>2019</c:v>
                </c:pt>
              </c:strCache>
            </c:strRef>
          </c:cat>
          <c:val>
            <c:numRef>
              <c:f>Sheet1!$B$3:$E$3</c:f>
              <c:numCache>
                <c:formatCode>0%</c:formatCode>
                <c:ptCount val="4"/>
                <c:pt idx="0">
                  <c:v>0.74</c:v>
                </c:pt>
                <c:pt idx="1">
                  <c:v>0.75</c:v>
                </c:pt>
                <c:pt idx="2">
                  <c:v>0.74</c:v>
                </c:pt>
                <c:pt idx="3">
                  <c:v>0.76</c:v>
                </c:pt>
              </c:numCache>
            </c:numRef>
          </c:val>
          <c:smooth val="0"/>
          <c:extLst>
            <c:ext xmlns:c16="http://schemas.microsoft.com/office/drawing/2014/chart" uri="{C3380CC4-5D6E-409C-BE32-E72D297353CC}">
              <c16:uniqueId val="{00000001-19A1-4564-89B5-7806DA564AB1}"/>
            </c:ext>
          </c:extLst>
        </c:ser>
        <c:ser>
          <c:idx val="2"/>
          <c:order val="2"/>
          <c:tx>
            <c:strRef>
              <c:f>Sheet1!$A$4</c:f>
              <c:strCache>
                <c:ptCount val="1"/>
                <c:pt idx="0">
                  <c:v>% Higher Study</c:v>
                </c:pt>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Sheet1!$B$1:$E$1</c:f>
              <c:strCache>
                <c:ptCount val="4"/>
                <c:pt idx="0">
                  <c:v>2016</c:v>
                </c:pt>
                <c:pt idx="1">
                  <c:v>2017</c:v>
                </c:pt>
                <c:pt idx="2">
                  <c:v>2018</c:v>
                </c:pt>
                <c:pt idx="3">
                  <c:v>2019</c:v>
                </c:pt>
              </c:strCache>
            </c:strRef>
          </c:cat>
          <c:val>
            <c:numRef>
              <c:f>Sheet1!$B$4:$E$4</c:f>
              <c:numCache>
                <c:formatCode>0%</c:formatCode>
                <c:ptCount val="4"/>
                <c:pt idx="0">
                  <c:v>0.22</c:v>
                </c:pt>
                <c:pt idx="1">
                  <c:v>0.25</c:v>
                </c:pt>
                <c:pt idx="2">
                  <c:v>0.23</c:v>
                </c:pt>
                <c:pt idx="3">
                  <c:v>0.21</c:v>
                </c:pt>
              </c:numCache>
            </c:numRef>
          </c:val>
          <c:smooth val="0"/>
          <c:extLst>
            <c:ext xmlns:c16="http://schemas.microsoft.com/office/drawing/2014/chart" uri="{C3380CC4-5D6E-409C-BE32-E72D297353CC}">
              <c16:uniqueId val="{00000002-19A1-4564-89B5-7806DA564AB1}"/>
            </c:ext>
          </c:extLst>
        </c:ser>
        <c:ser>
          <c:idx val="3"/>
          <c:order val="3"/>
          <c:tx>
            <c:strRef>
              <c:f>Sheet1!$A$5</c:f>
              <c:strCache>
                <c:ptCount val="1"/>
                <c:pt idx="0">
                  <c:v>% Combining</c:v>
                </c:pt>
              </c:strCache>
            </c:strRef>
          </c:tx>
          <c:spPr>
            <a:ln w="22225" cap="rnd" cmpd="sng" algn="ctr">
              <a:solidFill>
                <a:schemeClr val="accent4"/>
              </a:solidFill>
              <a:round/>
            </a:ln>
            <a:effectLst/>
          </c:spPr>
          <c:marker>
            <c:symbol val="none"/>
          </c:marker>
          <c:dLbls>
            <c:dLbl>
              <c:idx val="0"/>
              <c:layout>
                <c:manualLayout>
                  <c:x val="-4.2411971230868865E-2"/>
                  <c:y val="1.08237821623648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A1-4564-89B5-7806DA564AB1}"/>
                </c:ext>
              </c:extLst>
            </c:dLbl>
            <c:dLbl>
              <c:idx val="1"/>
              <c:layout>
                <c:manualLayout>
                  <c:x val="-3.9938254471437867E-2"/>
                  <c:y val="2.62677976063802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A1-4564-89B5-7806DA564AB1}"/>
                </c:ext>
              </c:extLst>
            </c:dLbl>
            <c:dLbl>
              <c:idx val="2"/>
              <c:layout>
                <c:manualLayout>
                  <c:x val="-3.9938254471437826E-2"/>
                  <c:y val="2.11197924583751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A1-4564-89B5-7806DA564AB1}"/>
                </c:ext>
              </c:extLst>
            </c:dLbl>
            <c:dLbl>
              <c:idx val="3"/>
              <c:layout>
                <c:manualLayout>
                  <c:x val="-2.7569670674282599E-2"/>
                  <c:y val="2.11197924583750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A1-4564-89B5-7806DA564A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Sheet1!$B$1:$E$1</c:f>
              <c:strCache>
                <c:ptCount val="4"/>
                <c:pt idx="0">
                  <c:v>2016</c:v>
                </c:pt>
                <c:pt idx="1">
                  <c:v>2017</c:v>
                </c:pt>
                <c:pt idx="2">
                  <c:v>2018</c:v>
                </c:pt>
                <c:pt idx="3">
                  <c:v>2019</c:v>
                </c:pt>
              </c:strCache>
            </c:strRef>
          </c:cat>
          <c:val>
            <c:numRef>
              <c:f>Sheet1!$B$5:$E$5</c:f>
              <c:numCache>
                <c:formatCode>0%</c:formatCode>
                <c:ptCount val="4"/>
                <c:pt idx="0">
                  <c:v>0.11</c:v>
                </c:pt>
                <c:pt idx="1">
                  <c:v>0.14000000000000001</c:v>
                </c:pt>
                <c:pt idx="2">
                  <c:v>0.13</c:v>
                </c:pt>
                <c:pt idx="3">
                  <c:v>0.12</c:v>
                </c:pt>
              </c:numCache>
            </c:numRef>
          </c:val>
          <c:smooth val="0"/>
          <c:extLst>
            <c:ext xmlns:c16="http://schemas.microsoft.com/office/drawing/2014/chart" uri="{C3380CC4-5D6E-409C-BE32-E72D297353CC}">
              <c16:uniqueId val="{00000003-19A1-4564-89B5-7806DA564AB1}"/>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99868879"/>
        <c:axId val="999858063"/>
      </c:lineChart>
      <c:catAx>
        <c:axId val="99986887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999858063"/>
        <c:crosses val="autoZero"/>
        <c:auto val="1"/>
        <c:lblAlgn val="ctr"/>
        <c:lblOffset val="100"/>
        <c:noMultiLvlLbl val="0"/>
      </c:catAx>
      <c:valAx>
        <c:axId val="99985806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999868879"/>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 of Unitec Graduates in Paid Work</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In Paid Work</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0%</c:formatCode>
                <c:ptCount val="10"/>
                <c:pt idx="0">
                  <c:v>0.67</c:v>
                </c:pt>
                <c:pt idx="1">
                  <c:v>0.67</c:v>
                </c:pt>
                <c:pt idx="2">
                  <c:v>0.65</c:v>
                </c:pt>
                <c:pt idx="3">
                  <c:v>0.66</c:v>
                </c:pt>
                <c:pt idx="4">
                  <c:v>0.66</c:v>
                </c:pt>
                <c:pt idx="5">
                  <c:v>0.71</c:v>
                </c:pt>
                <c:pt idx="6">
                  <c:v>0.74</c:v>
                </c:pt>
                <c:pt idx="7">
                  <c:v>0.75</c:v>
                </c:pt>
                <c:pt idx="8">
                  <c:v>0.74</c:v>
                </c:pt>
                <c:pt idx="9">
                  <c:v>0.76</c:v>
                </c:pt>
              </c:numCache>
            </c:numRef>
          </c:val>
          <c:smooth val="0"/>
          <c:extLst>
            <c:ext xmlns:c16="http://schemas.microsoft.com/office/drawing/2014/chart" uri="{C3380CC4-5D6E-409C-BE32-E72D297353CC}">
              <c16:uniqueId val="{00000000-2C64-44D6-9A76-DED3446D853A}"/>
            </c:ext>
          </c:extLst>
        </c:ser>
        <c:ser>
          <c:idx val="1"/>
          <c:order val="1"/>
          <c:tx>
            <c:strRef>
              <c:f>Sheet1!$C$1</c:f>
              <c:strCache>
                <c:ptCount val="1"/>
                <c:pt idx="0">
                  <c:v>NZ Unemployment Rate</c:v>
                </c:pt>
              </c:strCache>
            </c:strRef>
          </c:tx>
          <c:spPr>
            <a:ln w="22225" cap="rnd" cmpd="sng" algn="ctr">
              <a:solidFill>
                <a:schemeClr val="accent2"/>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Sheet1!$C$2:$C$11</c:f>
              <c:numCache>
                <c:formatCode>0.00%</c:formatCode>
                <c:ptCount val="10"/>
                <c:pt idx="0">
                  <c:v>6.2E-2</c:v>
                </c:pt>
                <c:pt idx="1">
                  <c:v>0.06</c:v>
                </c:pt>
                <c:pt idx="2">
                  <c:v>6.4000000000000001E-2</c:v>
                </c:pt>
                <c:pt idx="3">
                  <c:v>5.8000000000000003E-2</c:v>
                </c:pt>
                <c:pt idx="4">
                  <c:v>5.3999999999999999E-2</c:v>
                </c:pt>
                <c:pt idx="5">
                  <c:v>5.3999999999999999E-2</c:v>
                </c:pt>
                <c:pt idx="6">
                  <c:v>5.0999999999999997E-2</c:v>
                </c:pt>
                <c:pt idx="7">
                  <c:v>4.7E-2</c:v>
                </c:pt>
                <c:pt idx="8">
                  <c:v>4.2999999999999997E-2</c:v>
                </c:pt>
                <c:pt idx="9">
                  <c:v>4.2000000000000003E-2</c:v>
                </c:pt>
              </c:numCache>
            </c:numRef>
          </c:val>
          <c:smooth val="0"/>
          <c:extLst>
            <c:ext xmlns:c16="http://schemas.microsoft.com/office/drawing/2014/chart" uri="{C3380CC4-5D6E-409C-BE32-E72D297353CC}">
              <c16:uniqueId val="{00000001-2C64-44D6-9A76-DED3446D853A}"/>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30932767"/>
        <c:axId val="930920703"/>
      </c:lineChart>
      <c:catAx>
        <c:axId val="930932767"/>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930920703"/>
        <c:crosses val="autoZero"/>
        <c:auto val="1"/>
        <c:lblAlgn val="ctr"/>
        <c:lblOffset val="100"/>
        <c:noMultiLvlLbl val="0"/>
      </c:catAx>
      <c:valAx>
        <c:axId val="930920703"/>
        <c:scaling>
          <c:orientation val="minMax"/>
          <c:max val="0.8"/>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930932767"/>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100" dirty="0"/>
              <a:t>Course Completion - Māori</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-7.3999999999999955E-2</c:v>
                </c:pt>
                <c:pt idx="1">
                  <c:v>-9.1999999999999971E-2</c:v>
                </c:pt>
                <c:pt idx="2">
                  <c:v>-7.0000000000000062E-2</c:v>
                </c:pt>
                <c:pt idx="3">
                  <c:v>-6.5000000000000058E-2</c:v>
                </c:pt>
                <c:pt idx="4">
                  <c:v>-6.6000000000000059E-2</c:v>
                </c:pt>
                <c:pt idx="5">
                  <c:v>-6.2999999999999945E-2</c:v>
                </c:pt>
                <c:pt idx="6">
                  <c:v>-7.3999999999999955E-2</c:v>
                </c:pt>
                <c:pt idx="7">
                  <c:v>-7.4999999999999956E-2</c:v>
                </c:pt>
                <c:pt idx="8">
                  <c:v>-8.0999999999999961E-2</c:v>
                </c:pt>
                <c:pt idx="9">
                  <c:v>-9.5999999999999974E-2</c:v>
                </c:pt>
                <c:pt idx="10">
                  <c:v>-9.9999999999999978E-2</c:v>
                </c:pt>
              </c:numCache>
            </c:numRef>
          </c:val>
          <c:extLst>
            <c:ext xmlns:c16="http://schemas.microsoft.com/office/drawing/2014/chart" uri="{C3380CC4-5D6E-409C-BE32-E72D297353CC}">
              <c16:uniqueId val="{00000000-EA8A-480B-B400-1CC71B2153CF}"/>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Māori</c:v>
                </c:pt>
              </c:strCache>
            </c:strRef>
          </c:tx>
          <c:spPr>
            <a:ln w="28575" cap="rnd">
              <a:solidFill>
                <a:schemeClr val="accent1"/>
              </a:solidFill>
              <a:round/>
            </a:ln>
            <a:effectLst/>
          </c:spPr>
          <c:marker>
            <c:symbol val="none"/>
          </c:marker>
          <c:dLbls>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8A-480B-B400-1CC71B2153C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c:formatCode>
                <c:ptCount val="11"/>
                <c:pt idx="0">
                  <c:v>0.67900000000000005</c:v>
                </c:pt>
                <c:pt idx="1">
                  <c:v>0.68600000000000005</c:v>
                </c:pt>
                <c:pt idx="2">
                  <c:v>0.69799999999999995</c:v>
                </c:pt>
                <c:pt idx="3">
                  <c:v>0.71599999999999997</c:v>
                </c:pt>
                <c:pt idx="4">
                  <c:v>0.74399999999999999</c:v>
                </c:pt>
                <c:pt idx="5">
                  <c:v>0.76100000000000001</c:v>
                </c:pt>
                <c:pt idx="6">
                  <c:v>0.77300000000000002</c:v>
                </c:pt>
                <c:pt idx="7">
                  <c:v>0.76300000000000001</c:v>
                </c:pt>
                <c:pt idx="8">
                  <c:v>0.75800000000000001</c:v>
                </c:pt>
                <c:pt idx="9">
                  <c:v>0.74299999999999999</c:v>
                </c:pt>
                <c:pt idx="10">
                  <c:v>0.72399999999999998</c:v>
                </c:pt>
              </c:numCache>
            </c:numRef>
          </c:val>
          <c:smooth val="0"/>
          <c:extLst>
            <c:ext xmlns:c16="http://schemas.microsoft.com/office/drawing/2014/chart" uri="{C3380CC4-5D6E-409C-BE32-E72D297353CC}">
              <c16:uniqueId val="{00000002-EA8A-480B-B400-1CC71B2153CF}"/>
            </c:ext>
          </c:extLst>
        </c:ser>
        <c:ser>
          <c:idx val="1"/>
          <c:order val="1"/>
          <c:tx>
            <c:strRef>
              <c:f>Sheet1!$C$1</c:f>
              <c:strCache>
                <c:ptCount val="1"/>
                <c:pt idx="0">
                  <c:v>Non-Māori</c:v>
                </c:pt>
              </c:strCache>
            </c:strRef>
          </c:tx>
          <c:spPr>
            <a:ln w="28575" cap="rnd">
              <a:solidFill>
                <a:schemeClr val="accent2"/>
              </a:solidFill>
              <a:round/>
            </a:ln>
            <a:effectLst/>
          </c:spPr>
          <c:marker>
            <c:symbol val="none"/>
          </c:marker>
          <c:dLbls>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8A-480B-B400-1CC71B2153C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0.0%</c:formatCode>
                <c:ptCount val="11"/>
                <c:pt idx="0">
                  <c:v>0.753</c:v>
                </c:pt>
                <c:pt idx="1">
                  <c:v>0.77800000000000002</c:v>
                </c:pt>
                <c:pt idx="2">
                  <c:v>0.76800000000000002</c:v>
                </c:pt>
                <c:pt idx="3">
                  <c:v>0.78100000000000003</c:v>
                </c:pt>
                <c:pt idx="4">
                  <c:v>0.81</c:v>
                </c:pt>
                <c:pt idx="5">
                  <c:v>0.82399999999999995</c:v>
                </c:pt>
                <c:pt idx="6">
                  <c:v>0.84699999999999998</c:v>
                </c:pt>
                <c:pt idx="7">
                  <c:v>0.83799999999999997</c:v>
                </c:pt>
                <c:pt idx="8">
                  <c:v>0.83899999999999997</c:v>
                </c:pt>
                <c:pt idx="9">
                  <c:v>0.83899999999999997</c:v>
                </c:pt>
                <c:pt idx="10">
                  <c:v>0.82399999999999995</c:v>
                </c:pt>
              </c:numCache>
            </c:numRef>
          </c:val>
          <c:smooth val="0"/>
          <c:extLst>
            <c:ext xmlns:c16="http://schemas.microsoft.com/office/drawing/2014/chart" uri="{C3380CC4-5D6E-409C-BE32-E72D297353CC}">
              <c16:uniqueId val="{00000004-EA8A-480B-B400-1CC71B2153CF}"/>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200" b="0" i="0" u="none" strike="noStrike" baseline="0" dirty="0">
                <a:effectLst/>
              </a:rPr>
              <a:t>Graduates Employed, Studying and Combining (GESC) - Māori</a:t>
            </a:r>
            <a:endParaRPr lang="en-NZ" sz="1200" dirty="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Sheet1!$D$2:$D$5</c:f>
              <c:numCache>
                <c:formatCode>General</c:formatCode>
                <c:ptCount val="4"/>
                <c:pt idx="0">
                  <c:v>-1</c:v>
                </c:pt>
                <c:pt idx="1">
                  <c:v>-5</c:v>
                </c:pt>
                <c:pt idx="2">
                  <c:v>-6</c:v>
                </c:pt>
                <c:pt idx="3">
                  <c:v>-11</c:v>
                </c:pt>
              </c:numCache>
            </c:numRef>
          </c:val>
          <c:extLst>
            <c:ext xmlns:c16="http://schemas.microsoft.com/office/drawing/2014/chart" uri="{C3380CC4-5D6E-409C-BE32-E72D297353CC}">
              <c16:uniqueId val="{00000000-AC89-4821-8C0E-40785794BC4F}"/>
            </c:ext>
          </c:extLst>
        </c:ser>
        <c:dLbls>
          <c:showLegendKey val="0"/>
          <c:showVal val="0"/>
          <c:showCatName val="0"/>
          <c:showSerName val="0"/>
          <c:showPercent val="0"/>
          <c:showBubbleSize val="0"/>
        </c:dLbls>
        <c:gapWidth val="150"/>
        <c:axId val="925041487"/>
        <c:axId val="925041071"/>
      </c:barChart>
      <c:lineChart>
        <c:grouping val="standard"/>
        <c:varyColors val="0"/>
        <c:ser>
          <c:idx val="0"/>
          <c:order val="0"/>
          <c:tx>
            <c:strRef>
              <c:f>Sheet1!$B$1</c:f>
              <c:strCache>
                <c:ptCount val="1"/>
                <c:pt idx="0">
                  <c:v>Māori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0.86</c:v>
                </c:pt>
                <c:pt idx="1">
                  <c:v>0.91</c:v>
                </c:pt>
                <c:pt idx="2">
                  <c:v>0.9</c:v>
                </c:pt>
                <c:pt idx="3">
                  <c:v>0.92</c:v>
                </c:pt>
              </c:numCache>
            </c:numRef>
          </c:val>
          <c:smooth val="0"/>
          <c:extLst>
            <c:ext xmlns:c16="http://schemas.microsoft.com/office/drawing/2014/chart" uri="{C3380CC4-5D6E-409C-BE32-E72D297353CC}">
              <c16:uniqueId val="{00000001-AC89-4821-8C0E-40785794BC4F}"/>
            </c:ext>
          </c:extLst>
        </c:ser>
        <c:ser>
          <c:idx val="1"/>
          <c:order val="1"/>
          <c:tx>
            <c:strRef>
              <c:f>Sheet1!$C$1</c:f>
              <c:strCache>
                <c:ptCount val="1"/>
                <c:pt idx="0">
                  <c:v>Non-Māori</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Sheet1!$C$2:$C$5</c:f>
              <c:numCache>
                <c:formatCode>0%</c:formatCode>
                <c:ptCount val="4"/>
                <c:pt idx="0">
                  <c:v>0.85</c:v>
                </c:pt>
                <c:pt idx="1">
                  <c:v>0.86</c:v>
                </c:pt>
                <c:pt idx="2">
                  <c:v>0.84</c:v>
                </c:pt>
                <c:pt idx="3">
                  <c:v>0.81</c:v>
                </c:pt>
              </c:numCache>
            </c:numRef>
          </c:val>
          <c:smooth val="0"/>
          <c:extLst>
            <c:ext xmlns:c16="http://schemas.microsoft.com/office/drawing/2014/chart" uri="{C3380CC4-5D6E-409C-BE32-E72D297353CC}">
              <c16:uniqueId val="{00000002-AC89-4821-8C0E-40785794BC4F}"/>
            </c:ext>
          </c:extLst>
        </c:ser>
        <c:dLbls>
          <c:showLegendKey val="0"/>
          <c:showVal val="0"/>
          <c:showCatName val="0"/>
          <c:showSerName val="0"/>
          <c:showPercent val="0"/>
          <c:showBubbleSize val="0"/>
        </c:dLbls>
        <c:marker val="1"/>
        <c:smooth val="0"/>
        <c:axId val="925053551"/>
        <c:axId val="925043151"/>
      </c:lineChart>
      <c:catAx>
        <c:axId val="92505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043151"/>
        <c:crossesAt val="0.60000000000000009"/>
        <c:auto val="1"/>
        <c:lblAlgn val="ctr"/>
        <c:lblOffset val="100"/>
        <c:noMultiLvlLbl val="0"/>
      </c:catAx>
      <c:valAx>
        <c:axId val="925043151"/>
        <c:scaling>
          <c:orientation val="minMax"/>
          <c:max val="1"/>
          <c:min val="0.600000000000000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NZ" sz="1050" dirty="0"/>
                  <a:t>% GESC</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053551"/>
        <c:crosses val="autoZero"/>
        <c:crossBetween val="between"/>
      </c:valAx>
      <c:valAx>
        <c:axId val="925041071"/>
        <c:scaling>
          <c:orientation val="minMax"/>
          <c:max val="40"/>
          <c:min val="-2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dirty="0"/>
                  <a:t>Variance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041487"/>
        <c:crosses val="max"/>
        <c:crossBetween val="between"/>
      </c:valAx>
      <c:catAx>
        <c:axId val="925041487"/>
        <c:scaling>
          <c:orientation val="minMax"/>
        </c:scaling>
        <c:delete val="1"/>
        <c:axPos val="b"/>
        <c:numFmt formatCode="General" sourceLinked="1"/>
        <c:majorTickMark val="out"/>
        <c:minorTickMark val="none"/>
        <c:tickLblPos val="nextTo"/>
        <c:crossAx val="925041071"/>
        <c:crossesAt val="0"/>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NZ" sz="1400" b="0" i="0" u="none" strike="noStrike" baseline="0" dirty="0">
                <a:effectLst/>
              </a:rPr>
              <a:t>Graduates Employed, Studying and Combining (GESC) - Pacific</a:t>
            </a:r>
            <a:endParaRPr lang="en-NZ" sz="1400" dirty="0"/>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Sheet1!$D$2:$D$5</c:f>
              <c:numCache>
                <c:formatCode>General</c:formatCode>
                <c:ptCount val="4"/>
                <c:pt idx="0">
                  <c:v>-7</c:v>
                </c:pt>
                <c:pt idx="1">
                  <c:v>7</c:v>
                </c:pt>
                <c:pt idx="2">
                  <c:v>3</c:v>
                </c:pt>
                <c:pt idx="3">
                  <c:v>-3</c:v>
                </c:pt>
              </c:numCache>
            </c:numRef>
          </c:val>
          <c:extLst>
            <c:ext xmlns:c16="http://schemas.microsoft.com/office/drawing/2014/chart" uri="{C3380CC4-5D6E-409C-BE32-E72D297353CC}">
              <c16:uniqueId val="{00000000-EFC6-4101-B9F8-714160E8FF68}"/>
            </c:ext>
          </c:extLst>
        </c:ser>
        <c:dLbls>
          <c:showLegendKey val="0"/>
          <c:showVal val="0"/>
          <c:showCatName val="0"/>
          <c:showSerName val="0"/>
          <c:showPercent val="0"/>
          <c:showBubbleSize val="0"/>
        </c:dLbls>
        <c:gapWidth val="150"/>
        <c:axId val="925041487"/>
        <c:axId val="925041071"/>
      </c:barChart>
      <c:lineChart>
        <c:grouping val="standard"/>
        <c:varyColors val="0"/>
        <c:ser>
          <c:idx val="0"/>
          <c:order val="0"/>
          <c:tx>
            <c:strRef>
              <c:f>Sheet1!$B$1</c:f>
              <c:strCache>
                <c:ptCount val="1"/>
                <c:pt idx="0">
                  <c:v>Pacific</c:v>
                </c:pt>
              </c:strCache>
            </c:strRef>
          </c:tx>
          <c:spPr>
            <a:ln w="28575" cap="rnd">
              <a:solidFill>
                <a:schemeClr val="accent1"/>
              </a:solidFill>
              <a:round/>
            </a:ln>
            <a:effectLst/>
          </c:spPr>
          <c:marker>
            <c:symbol val="none"/>
          </c:marker>
          <c:dLbls>
            <c:dLbl>
              <c:idx val="2"/>
              <c:layout>
                <c:manualLayout>
                  <c:x val="-2.9441437007874015E-2"/>
                  <c:y val="2.74102468374601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C6-4101-B9F8-714160E8FF68}"/>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0.91</c:v>
                </c:pt>
                <c:pt idx="1">
                  <c:v>0.8</c:v>
                </c:pt>
                <c:pt idx="2">
                  <c:v>0.82</c:v>
                </c:pt>
                <c:pt idx="3">
                  <c:v>0.85</c:v>
                </c:pt>
              </c:numCache>
            </c:numRef>
          </c:val>
          <c:smooth val="0"/>
          <c:extLst>
            <c:ext xmlns:c16="http://schemas.microsoft.com/office/drawing/2014/chart" uri="{C3380CC4-5D6E-409C-BE32-E72D297353CC}">
              <c16:uniqueId val="{00000002-EFC6-4101-B9F8-714160E8FF68}"/>
            </c:ext>
          </c:extLst>
        </c:ser>
        <c:ser>
          <c:idx val="1"/>
          <c:order val="1"/>
          <c:tx>
            <c:strRef>
              <c:f>Sheet1!$C$1</c:f>
              <c:strCache>
                <c:ptCount val="1"/>
                <c:pt idx="0">
                  <c:v>Non-Pacific</c:v>
                </c:pt>
              </c:strCache>
            </c:strRef>
          </c:tx>
          <c:spPr>
            <a:ln w="28575" cap="rnd">
              <a:solidFill>
                <a:schemeClr val="accent2"/>
              </a:solidFill>
              <a:round/>
            </a:ln>
            <a:effectLst/>
          </c:spPr>
          <c:marker>
            <c:symbol val="none"/>
          </c:marker>
          <c:dLbls>
            <c:dLbl>
              <c:idx val="2"/>
              <c:layout>
                <c:manualLayout>
                  <c:x val="-2.7878937007874017E-2"/>
                  <c:y val="-3.20975620018723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C6-4101-B9F8-714160E8FF68}"/>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Sheet1!$C$2:$C$5</c:f>
              <c:numCache>
                <c:formatCode>0%</c:formatCode>
                <c:ptCount val="4"/>
                <c:pt idx="0">
                  <c:v>0.84</c:v>
                </c:pt>
                <c:pt idx="1">
                  <c:v>0.87</c:v>
                </c:pt>
                <c:pt idx="2">
                  <c:v>0.85</c:v>
                </c:pt>
                <c:pt idx="3">
                  <c:v>0.82</c:v>
                </c:pt>
              </c:numCache>
            </c:numRef>
          </c:val>
          <c:smooth val="0"/>
          <c:extLst>
            <c:ext xmlns:c16="http://schemas.microsoft.com/office/drawing/2014/chart" uri="{C3380CC4-5D6E-409C-BE32-E72D297353CC}">
              <c16:uniqueId val="{00000004-EFC6-4101-B9F8-714160E8FF68}"/>
            </c:ext>
          </c:extLst>
        </c:ser>
        <c:dLbls>
          <c:showLegendKey val="0"/>
          <c:showVal val="0"/>
          <c:showCatName val="0"/>
          <c:showSerName val="0"/>
          <c:showPercent val="0"/>
          <c:showBubbleSize val="0"/>
        </c:dLbls>
        <c:marker val="1"/>
        <c:smooth val="0"/>
        <c:axId val="925053551"/>
        <c:axId val="925043151"/>
      </c:lineChart>
      <c:catAx>
        <c:axId val="92505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25043151"/>
        <c:crossesAt val="0.60000000000000009"/>
        <c:auto val="1"/>
        <c:lblAlgn val="ctr"/>
        <c:lblOffset val="100"/>
        <c:noMultiLvlLbl val="0"/>
      </c:catAx>
      <c:valAx>
        <c:axId val="925043151"/>
        <c:scaling>
          <c:orientation val="minMax"/>
          <c:max val="1"/>
          <c:min val="0.600000000000000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NZ" dirty="0"/>
                  <a:t>% GESC</a:t>
                </a:r>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25053551"/>
        <c:crosses val="autoZero"/>
        <c:crossBetween val="between"/>
      </c:valAx>
      <c:valAx>
        <c:axId val="925041071"/>
        <c:scaling>
          <c:orientation val="minMax"/>
          <c:max val="40"/>
          <c:min val="-20"/>
        </c:scaling>
        <c:delete val="0"/>
        <c:axPos val="r"/>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NZ" dirty="0"/>
                  <a:t>Variance</a:t>
                </a:r>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25041487"/>
        <c:crosses val="max"/>
        <c:crossBetween val="between"/>
      </c:valAx>
      <c:catAx>
        <c:axId val="925041487"/>
        <c:scaling>
          <c:orientation val="minMax"/>
        </c:scaling>
        <c:delete val="1"/>
        <c:axPos val="b"/>
        <c:numFmt formatCode="General" sourceLinked="1"/>
        <c:majorTickMark val="out"/>
        <c:minorTickMark val="none"/>
        <c:tickLblPos val="nextTo"/>
        <c:crossAx val="9250410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NZ"/>
              <a:t>Graduates Employed, Studying and Combining (GESC) – Under 25yrs</a:t>
            </a:r>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dLbls>
            <c:dLbl>
              <c:idx val="0"/>
              <c:layout>
                <c:manualLayout>
                  <c:x val="-2.2158209616662972E-3"/>
                  <c:y val="5.2459016393442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23-48E2-99EB-689ACD195D89}"/>
                </c:ext>
              </c:extLst>
            </c:dLbl>
            <c:dLbl>
              <c:idx val="1"/>
              <c:layout>
                <c:manualLayout>
                  <c:x val="-8.8632838466651889E-3"/>
                  <c:y val="8.306010928961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23-48E2-99EB-689ACD195D89}"/>
                </c:ext>
              </c:extLst>
            </c:dLbl>
            <c:dLbl>
              <c:idx val="2"/>
              <c:layout>
                <c:manualLayout>
                  <c:x val="2.2158209616662161E-3"/>
                  <c:y val="7.43169398907103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23-48E2-99EB-689ACD195D89}"/>
                </c:ext>
              </c:extLst>
            </c:dLbl>
            <c:dLbl>
              <c:idx val="3"/>
              <c:layout>
                <c:manualLayout>
                  <c:x val="2.2158209616662972E-3"/>
                  <c:y val="5.6830601092896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23-48E2-99EB-689ACD195D8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Sheet1!$D$2:$D$5</c:f>
              <c:numCache>
                <c:formatCode>General</c:formatCode>
                <c:ptCount val="4"/>
                <c:pt idx="0">
                  <c:v>3</c:v>
                </c:pt>
                <c:pt idx="1">
                  <c:v>8</c:v>
                </c:pt>
                <c:pt idx="2">
                  <c:v>8</c:v>
                </c:pt>
                <c:pt idx="3">
                  <c:v>3</c:v>
                </c:pt>
              </c:numCache>
            </c:numRef>
          </c:val>
          <c:extLst>
            <c:ext xmlns:c16="http://schemas.microsoft.com/office/drawing/2014/chart" uri="{C3380CC4-5D6E-409C-BE32-E72D297353CC}">
              <c16:uniqueId val="{00000000-F723-48E2-99EB-689ACD195D89}"/>
            </c:ext>
          </c:extLst>
        </c:ser>
        <c:dLbls>
          <c:showLegendKey val="0"/>
          <c:showVal val="0"/>
          <c:showCatName val="0"/>
          <c:showSerName val="0"/>
          <c:showPercent val="0"/>
          <c:showBubbleSize val="0"/>
        </c:dLbls>
        <c:gapWidth val="150"/>
        <c:axId val="925041487"/>
        <c:axId val="925041071"/>
      </c:barChart>
      <c:lineChart>
        <c:grouping val="standard"/>
        <c:varyColors val="0"/>
        <c:ser>
          <c:idx val="0"/>
          <c:order val="0"/>
          <c:tx>
            <c:strRef>
              <c:f>Sheet1!$B$1</c:f>
              <c:strCache>
                <c:ptCount val="1"/>
                <c:pt idx="0">
                  <c:v>Under 25yrs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0.83</c:v>
                </c:pt>
                <c:pt idx="1">
                  <c:v>0.81</c:v>
                </c:pt>
                <c:pt idx="2">
                  <c:v>0.8</c:v>
                </c:pt>
                <c:pt idx="3">
                  <c:v>0.8</c:v>
                </c:pt>
              </c:numCache>
            </c:numRef>
          </c:val>
          <c:smooth val="0"/>
          <c:extLst>
            <c:ext xmlns:c16="http://schemas.microsoft.com/office/drawing/2014/chart" uri="{C3380CC4-5D6E-409C-BE32-E72D297353CC}">
              <c16:uniqueId val="{00000001-F723-48E2-99EB-689ACD195D89}"/>
            </c:ext>
          </c:extLst>
        </c:ser>
        <c:ser>
          <c:idx val="1"/>
          <c:order val="1"/>
          <c:tx>
            <c:strRef>
              <c:f>Sheet1!$C$1</c:f>
              <c:strCache>
                <c:ptCount val="1"/>
                <c:pt idx="0">
                  <c:v>25+yrs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Sheet1!$C$2:$C$5</c:f>
              <c:numCache>
                <c:formatCode>0%</c:formatCode>
                <c:ptCount val="4"/>
                <c:pt idx="0">
                  <c:v>0.86</c:v>
                </c:pt>
                <c:pt idx="1">
                  <c:v>0.89</c:v>
                </c:pt>
                <c:pt idx="2">
                  <c:v>0.88</c:v>
                </c:pt>
                <c:pt idx="3">
                  <c:v>0.83</c:v>
                </c:pt>
              </c:numCache>
            </c:numRef>
          </c:val>
          <c:smooth val="0"/>
          <c:extLst>
            <c:ext xmlns:c16="http://schemas.microsoft.com/office/drawing/2014/chart" uri="{C3380CC4-5D6E-409C-BE32-E72D297353CC}">
              <c16:uniqueId val="{00000002-F723-48E2-99EB-689ACD195D89}"/>
            </c:ext>
          </c:extLst>
        </c:ser>
        <c:dLbls>
          <c:showLegendKey val="0"/>
          <c:showVal val="0"/>
          <c:showCatName val="0"/>
          <c:showSerName val="0"/>
          <c:showPercent val="0"/>
          <c:showBubbleSize val="0"/>
        </c:dLbls>
        <c:marker val="1"/>
        <c:smooth val="0"/>
        <c:axId val="925053551"/>
        <c:axId val="925043151"/>
      </c:lineChart>
      <c:catAx>
        <c:axId val="92505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925043151"/>
        <c:crossesAt val="0.60000000000000009"/>
        <c:auto val="1"/>
        <c:lblAlgn val="ctr"/>
        <c:lblOffset val="100"/>
        <c:noMultiLvlLbl val="0"/>
      </c:catAx>
      <c:valAx>
        <c:axId val="925043151"/>
        <c:scaling>
          <c:orientation val="minMax"/>
          <c:max val="1"/>
          <c:min val="0.600000000000000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NZ"/>
                  <a:t>% GESC</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053551"/>
        <c:crosses val="autoZero"/>
        <c:crossBetween val="between"/>
      </c:valAx>
      <c:valAx>
        <c:axId val="925041071"/>
        <c:scaling>
          <c:orientation val="minMax"/>
          <c:max val="40"/>
          <c:min val="-20"/>
        </c:scaling>
        <c:delete val="0"/>
        <c:axPos val="r"/>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NZ"/>
                  <a:t>Variance</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041487"/>
        <c:crosses val="max"/>
        <c:crossBetween val="between"/>
      </c:valAx>
      <c:catAx>
        <c:axId val="925041487"/>
        <c:scaling>
          <c:orientation val="minMax"/>
        </c:scaling>
        <c:delete val="1"/>
        <c:axPos val="b"/>
        <c:numFmt formatCode="General" sourceLinked="1"/>
        <c:majorTickMark val="out"/>
        <c:minorTickMark val="none"/>
        <c:tickLblPos val="nextTo"/>
        <c:crossAx val="9250410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bg1">
          <a:lumMod val="50000"/>
        </a:schemeClr>
      </a:solidFill>
      <a:round/>
    </a:ln>
    <a:effectLst/>
  </c:spPr>
  <c:txPr>
    <a:bodyPr/>
    <a:lstStyle/>
    <a:p>
      <a:pPr>
        <a:defRPr sz="105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200" b="0" i="0" u="none" strike="noStrike" baseline="0" dirty="0">
                <a:effectLst/>
              </a:rPr>
              <a:t>Graduates Employed, Studying and Combining (GESC) – International</a:t>
            </a:r>
            <a:endParaRPr lang="en-NZ" sz="1200" dirty="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Sheet1!$D$2:$D$5</c:f>
              <c:numCache>
                <c:formatCode>0</c:formatCode>
                <c:ptCount val="4"/>
                <c:pt idx="0">
                  <c:v>16</c:v>
                </c:pt>
                <c:pt idx="1">
                  <c:v>15</c:v>
                </c:pt>
                <c:pt idx="2">
                  <c:v>24</c:v>
                </c:pt>
                <c:pt idx="3">
                  <c:v>28</c:v>
                </c:pt>
              </c:numCache>
            </c:numRef>
          </c:val>
          <c:extLst>
            <c:ext xmlns:c16="http://schemas.microsoft.com/office/drawing/2014/chart" uri="{C3380CC4-5D6E-409C-BE32-E72D297353CC}">
              <c16:uniqueId val="{00000000-B9C6-49C6-A96D-53CD8EF1ABE3}"/>
            </c:ext>
          </c:extLst>
        </c:ser>
        <c:dLbls>
          <c:showLegendKey val="0"/>
          <c:showVal val="0"/>
          <c:showCatName val="0"/>
          <c:showSerName val="0"/>
          <c:showPercent val="0"/>
          <c:showBubbleSize val="0"/>
        </c:dLbls>
        <c:gapWidth val="150"/>
        <c:axId val="925041487"/>
        <c:axId val="925041071"/>
      </c:barChart>
      <c:lineChart>
        <c:grouping val="standard"/>
        <c:varyColors val="0"/>
        <c:ser>
          <c:idx val="0"/>
          <c:order val="0"/>
          <c:tx>
            <c:strRef>
              <c:f>Sheet1!$B$1</c:f>
              <c:strCache>
                <c:ptCount val="1"/>
                <c:pt idx="0">
                  <c:v>International</c:v>
                </c:pt>
              </c:strCache>
            </c:strRef>
          </c:tx>
          <c:spPr>
            <a:ln w="28575" cap="rnd">
              <a:solidFill>
                <a:schemeClr val="accent1"/>
              </a:solidFill>
              <a:round/>
            </a:ln>
            <a:effectLst/>
          </c:spPr>
          <c:marker>
            <c:symbol val="none"/>
          </c:marker>
          <c:dLbls>
            <c:dLbl>
              <c:idx val="0"/>
              <c:layout>
                <c:manualLayout>
                  <c:x val="-3.6068156559091756E-2"/>
                  <c:y val="-4.09601712407309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C6-49C6-A96D-53CD8EF1ABE3}"/>
                </c:ext>
              </c:extLst>
            </c:dLbl>
            <c:dLbl>
              <c:idx val="1"/>
              <c:layout>
                <c:manualLayout>
                  <c:x val="-3.6068156559091756E-2"/>
                  <c:y val="-2.8015187421960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C6-49C6-A96D-53CD8EF1ABE3}"/>
                </c:ext>
              </c:extLst>
            </c:dLbl>
            <c:dLbl>
              <c:idx val="2"/>
              <c:layout>
                <c:manualLayout>
                  <c:x val="-3.6068156559091839E-2"/>
                  <c:y val="-2.3700192815703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C6-49C6-A96D-53CD8EF1ABE3}"/>
                </c:ext>
              </c:extLst>
            </c:dLbl>
            <c:dLbl>
              <c:idx val="3"/>
              <c:layout>
                <c:manualLayout>
                  <c:x val="-3.8283977520758218E-2"/>
                  <c:y val="-3.23301820282173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C6-49C6-A96D-53CD8EF1AB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0.71</c:v>
                </c:pt>
                <c:pt idx="1">
                  <c:v>0.74</c:v>
                </c:pt>
                <c:pt idx="2">
                  <c:v>0.65</c:v>
                </c:pt>
                <c:pt idx="3">
                  <c:v>0.61</c:v>
                </c:pt>
              </c:numCache>
            </c:numRef>
          </c:val>
          <c:smooth val="0"/>
          <c:extLst>
            <c:ext xmlns:c16="http://schemas.microsoft.com/office/drawing/2014/chart" uri="{C3380CC4-5D6E-409C-BE32-E72D297353CC}">
              <c16:uniqueId val="{00000001-B9C6-49C6-A96D-53CD8EF1ABE3}"/>
            </c:ext>
          </c:extLst>
        </c:ser>
        <c:ser>
          <c:idx val="1"/>
          <c:order val="1"/>
          <c:tx>
            <c:strRef>
              <c:f>Sheet1!$C$1</c:f>
              <c:strCache>
                <c:ptCount val="1"/>
                <c:pt idx="0">
                  <c:v>Domestic</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Sheet1!$C$2:$C$5</c:f>
              <c:numCache>
                <c:formatCode>0%</c:formatCode>
                <c:ptCount val="4"/>
                <c:pt idx="0">
                  <c:v>0.87</c:v>
                </c:pt>
                <c:pt idx="1">
                  <c:v>0.89</c:v>
                </c:pt>
                <c:pt idx="2">
                  <c:v>0.89</c:v>
                </c:pt>
                <c:pt idx="3">
                  <c:v>0.89</c:v>
                </c:pt>
              </c:numCache>
            </c:numRef>
          </c:val>
          <c:smooth val="0"/>
          <c:extLst>
            <c:ext xmlns:c16="http://schemas.microsoft.com/office/drawing/2014/chart" uri="{C3380CC4-5D6E-409C-BE32-E72D297353CC}">
              <c16:uniqueId val="{00000002-B9C6-49C6-A96D-53CD8EF1ABE3}"/>
            </c:ext>
          </c:extLst>
        </c:ser>
        <c:dLbls>
          <c:showLegendKey val="0"/>
          <c:showVal val="0"/>
          <c:showCatName val="0"/>
          <c:showSerName val="0"/>
          <c:showPercent val="0"/>
          <c:showBubbleSize val="0"/>
        </c:dLbls>
        <c:marker val="1"/>
        <c:smooth val="0"/>
        <c:axId val="925053551"/>
        <c:axId val="925043151"/>
      </c:lineChart>
      <c:catAx>
        <c:axId val="92505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043151"/>
        <c:crossesAt val="0.60000000000000009"/>
        <c:auto val="1"/>
        <c:lblAlgn val="ctr"/>
        <c:lblOffset val="100"/>
        <c:noMultiLvlLbl val="0"/>
      </c:catAx>
      <c:valAx>
        <c:axId val="925043151"/>
        <c:scaling>
          <c:orientation val="minMax"/>
          <c:max val="1"/>
          <c:min val="0.600000000000000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NZ" dirty="0"/>
                  <a:t>% GESC</a:t>
                </a:r>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25053551"/>
        <c:crosses val="autoZero"/>
        <c:crossBetween val="between"/>
      </c:valAx>
      <c:valAx>
        <c:axId val="925041071"/>
        <c:scaling>
          <c:orientation val="minMax"/>
          <c:max val="60"/>
          <c:min val="-20"/>
        </c:scaling>
        <c:delete val="0"/>
        <c:axPos val="r"/>
        <c:title>
          <c:tx>
            <c:rich>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NZ" dirty="0"/>
                  <a:t>Variance</a:t>
                </a:r>
              </a:p>
            </c:rich>
          </c:tx>
          <c:overlay val="0"/>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25041487"/>
        <c:crosses val="max"/>
        <c:crossBetween val="between"/>
      </c:valAx>
      <c:catAx>
        <c:axId val="925041487"/>
        <c:scaling>
          <c:orientation val="minMax"/>
        </c:scaling>
        <c:delete val="1"/>
        <c:axPos val="b"/>
        <c:numFmt formatCode="General" sourceLinked="1"/>
        <c:majorTickMark val="out"/>
        <c:minorTickMark val="none"/>
        <c:tickLblPos val="nextTo"/>
        <c:crossAx val="9250410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100" dirty="0"/>
              <a:t>Course Completion - Pacific</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-0.16700000000000004</c:v>
                </c:pt>
                <c:pt idx="1">
                  <c:v>-0.16100000000000003</c:v>
                </c:pt>
                <c:pt idx="2">
                  <c:v>-0.14400000000000002</c:v>
                </c:pt>
                <c:pt idx="3">
                  <c:v>-0.125</c:v>
                </c:pt>
                <c:pt idx="4">
                  <c:v>-0.121</c:v>
                </c:pt>
                <c:pt idx="5">
                  <c:v>-0.10899999999999999</c:v>
                </c:pt>
                <c:pt idx="6">
                  <c:v>-8.4999999999999964E-2</c:v>
                </c:pt>
                <c:pt idx="7">
                  <c:v>-0.11199999999999999</c:v>
                </c:pt>
                <c:pt idx="8">
                  <c:v>-0.11399999999999999</c:v>
                </c:pt>
                <c:pt idx="9">
                  <c:v>-0.13600000000000001</c:v>
                </c:pt>
                <c:pt idx="10">
                  <c:v>-0.13400000000000001</c:v>
                </c:pt>
              </c:numCache>
            </c:numRef>
          </c:val>
          <c:extLst>
            <c:ext xmlns:c16="http://schemas.microsoft.com/office/drawing/2014/chart" uri="{C3380CC4-5D6E-409C-BE32-E72D297353CC}">
              <c16:uniqueId val="{00000000-539C-455C-914D-8F43544EC3B7}"/>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Pacific</c:v>
                </c:pt>
              </c:strCache>
            </c:strRef>
          </c:tx>
          <c:spPr>
            <a:ln w="28575" cap="rnd">
              <a:solidFill>
                <a:schemeClr val="accent1"/>
              </a:solidFill>
              <a:round/>
            </a:ln>
            <a:effectLst/>
          </c:spPr>
          <c:marker>
            <c:symbol val="none"/>
          </c:marker>
          <c:dLbls>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9C-455C-914D-8F43544EC3B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c:formatCode>
                <c:ptCount val="11"/>
                <c:pt idx="0">
                  <c:v>0.59599999999999997</c:v>
                </c:pt>
                <c:pt idx="1">
                  <c:v>0.627</c:v>
                </c:pt>
                <c:pt idx="2">
                  <c:v>0.63300000000000001</c:v>
                </c:pt>
                <c:pt idx="3">
                  <c:v>0.66300000000000003</c:v>
                </c:pt>
                <c:pt idx="4">
                  <c:v>0.69699999999999995</c:v>
                </c:pt>
                <c:pt idx="5">
                  <c:v>0.72299999999999998</c:v>
                </c:pt>
                <c:pt idx="6">
                  <c:v>0.76700000000000002</c:v>
                </c:pt>
                <c:pt idx="7">
                  <c:v>0.73499999999999999</c:v>
                </c:pt>
                <c:pt idx="8">
                  <c:v>0.73199999999999998</c:v>
                </c:pt>
                <c:pt idx="9">
                  <c:v>0.71099999999999997</c:v>
                </c:pt>
                <c:pt idx="10">
                  <c:v>0.69599999999999995</c:v>
                </c:pt>
              </c:numCache>
            </c:numRef>
          </c:val>
          <c:smooth val="0"/>
          <c:extLst>
            <c:ext xmlns:c16="http://schemas.microsoft.com/office/drawing/2014/chart" uri="{C3380CC4-5D6E-409C-BE32-E72D297353CC}">
              <c16:uniqueId val="{00000002-539C-455C-914D-8F43544EC3B7}"/>
            </c:ext>
          </c:extLst>
        </c:ser>
        <c:ser>
          <c:idx val="1"/>
          <c:order val="1"/>
          <c:tx>
            <c:strRef>
              <c:f>Sheet1!$C$1</c:f>
              <c:strCache>
                <c:ptCount val="1"/>
                <c:pt idx="0">
                  <c:v>Non-Pacific</c:v>
                </c:pt>
              </c:strCache>
            </c:strRef>
          </c:tx>
          <c:spPr>
            <a:ln w="28575" cap="rnd">
              <a:solidFill>
                <a:schemeClr val="accent2"/>
              </a:solidFill>
              <a:round/>
            </a:ln>
            <a:effectLst/>
          </c:spPr>
          <c:marker>
            <c:symbol val="none"/>
          </c:marker>
          <c:dLbls>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9C-455C-914D-8F43544EC3B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0.0%</c:formatCode>
                <c:ptCount val="11"/>
                <c:pt idx="0">
                  <c:v>0.76300000000000001</c:v>
                </c:pt>
                <c:pt idx="1">
                  <c:v>0.78800000000000003</c:v>
                </c:pt>
                <c:pt idx="2">
                  <c:v>0.77700000000000002</c:v>
                </c:pt>
                <c:pt idx="3">
                  <c:v>0.78800000000000003</c:v>
                </c:pt>
                <c:pt idx="4">
                  <c:v>0.81799999999999995</c:v>
                </c:pt>
                <c:pt idx="5">
                  <c:v>0.83199999999999996</c:v>
                </c:pt>
                <c:pt idx="6">
                  <c:v>0.85199999999999998</c:v>
                </c:pt>
                <c:pt idx="7">
                  <c:v>0.84699999999999998</c:v>
                </c:pt>
                <c:pt idx="8">
                  <c:v>0.84599999999999997</c:v>
                </c:pt>
                <c:pt idx="9">
                  <c:v>0.84699999999999998</c:v>
                </c:pt>
                <c:pt idx="10">
                  <c:v>0.83</c:v>
                </c:pt>
              </c:numCache>
            </c:numRef>
          </c:val>
          <c:smooth val="0"/>
          <c:extLst>
            <c:ext xmlns:c16="http://schemas.microsoft.com/office/drawing/2014/chart" uri="{C3380CC4-5D6E-409C-BE32-E72D297353CC}">
              <c16:uniqueId val="{00000004-539C-455C-914D-8F43544EC3B7}"/>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100" dirty="0"/>
              <a:t>Course Completion – Under 25yrs</a:t>
            </a:r>
          </a:p>
        </c:rich>
      </c:tx>
      <c:layout>
        <c:manualLayout>
          <c:xMode val="edge"/>
          <c:yMode val="edge"/>
          <c:x val="0.12741838685433676"/>
          <c:y val="2.730068458078831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421148640267349"/>
          <c:y val="0.19580050981341379"/>
          <c:w val="0.670420798400572"/>
          <c:h val="0.38659317121742565"/>
        </c:manualLayout>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-4.9000000000000044E-2</c:v>
                </c:pt>
                <c:pt idx="1">
                  <c:v>-7.0000000000000062E-2</c:v>
                </c:pt>
                <c:pt idx="2">
                  <c:v>-7.6000000000000068E-2</c:v>
                </c:pt>
                <c:pt idx="3">
                  <c:v>-9.6999999999999975E-2</c:v>
                </c:pt>
                <c:pt idx="4">
                  <c:v>-8.7999999999999967E-2</c:v>
                </c:pt>
                <c:pt idx="5">
                  <c:v>-8.2999999999999963E-2</c:v>
                </c:pt>
                <c:pt idx="6">
                  <c:v>-6.2000000000000055E-2</c:v>
                </c:pt>
                <c:pt idx="7">
                  <c:v>-6.5999999999999948E-2</c:v>
                </c:pt>
                <c:pt idx="8">
                  <c:v>-6.2999999999999945E-2</c:v>
                </c:pt>
                <c:pt idx="9">
                  <c:v>-6.7999999999999949E-2</c:v>
                </c:pt>
                <c:pt idx="10">
                  <c:v>-6.6999999999999948E-2</c:v>
                </c:pt>
              </c:numCache>
            </c:numRef>
          </c:val>
          <c:extLst>
            <c:ext xmlns:c16="http://schemas.microsoft.com/office/drawing/2014/chart" uri="{C3380CC4-5D6E-409C-BE32-E72D297353CC}">
              <c16:uniqueId val="{00000000-2D02-480D-886E-2FA539059F27}"/>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Under 25yrs</c:v>
                </c:pt>
              </c:strCache>
            </c:strRef>
          </c:tx>
          <c:spPr>
            <a:ln w="28575" cap="rnd">
              <a:solidFill>
                <a:schemeClr val="accent1"/>
              </a:solidFill>
              <a:round/>
            </a:ln>
            <a:effectLst/>
          </c:spPr>
          <c:marker>
            <c:symbol val="none"/>
          </c:marker>
          <c:dLbls>
            <c:dLbl>
              <c:idx val="10"/>
              <c:layout>
                <c:manualLayout>
                  <c:x val="-0.10082388415822088"/>
                  <c:y val="2.11990890599922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02-480D-886E-2FA539059F2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c:formatCode>
                <c:ptCount val="11"/>
                <c:pt idx="0">
                  <c:v>0.72799999999999998</c:v>
                </c:pt>
                <c:pt idx="1">
                  <c:v>0.74099999999999999</c:v>
                </c:pt>
                <c:pt idx="2">
                  <c:v>0.73099999999999998</c:v>
                </c:pt>
                <c:pt idx="3">
                  <c:v>0.73699999999999999</c:v>
                </c:pt>
                <c:pt idx="4">
                  <c:v>0.77100000000000002</c:v>
                </c:pt>
                <c:pt idx="5">
                  <c:v>0.78900000000000003</c:v>
                </c:pt>
                <c:pt idx="6">
                  <c:v>0.82</c:v>
                </c:pt>
                <c:pt idx="7">
                  <c:v>0.80700000000000005</c:v>
                </c:pt>
                <c:pt idx="8">
                  <c:v>0.80800000000000005</c:v>
                </c:pt>
                <c:pt idx="9">
                  <c:v>0.80300000000000005</c:v>
                </c:pt>
                <c:pt idx="10">
                  <c:v>0.78400000000000003</c:v>
                </c:pt>
              </c:numCache>
            </c:numRef>
          </c:val>
          <c:smooth val="0"/>
          <c:extLst>
            <c:ext xmlns:c16="http://schemas.microsoft.com/office/drawing/2014/chart" uri="{C3380CC4-5D6E-409C-BE32-E72D297353CC}">
              <c16:uniqueId val="{00000002-2D02-480D-886E-2FA539059F27}"/>
            </c:ext>
          </c:extLst>
        </c:ser>
        <c:ser>
          <c:idx val="1"/>
          <c:order val="1"/>
          <c:tx>
            <c:strRef>
              <c:f>Sheet1!$C$1</c:f>
              <c:strCache>
                <c:ptCount val="1"/>
                <c:pt idx="0">
                  <c:v>25+yrs</c:v>
                </c:pt>
              </c:strCache>
            </c:strRef>
          </c:tx>
          <c:spPr>
            <a:ln w="28575" cap="rnd">
              <a:solidFill>
                <a:schemeClr val="accent2"/>
              </a:solidFill>
              <a:round/>
            </a:ln>
            <a:effectLst/>
          </c:spPr>
          <c:marker>
            <c:symbol val="none"/>
          </c:marker>
          <c:dLbls>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02-480D-886E-2FA539059F2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0.0%</c:formatCode>
                <c:ptCount val="11"/>
                <c:pt idx="0">
                  <c:v>0.77700000000000002</c:v>
                </c:pt>
                <c:pt idx="1">
                  <c:v>0.81100000000000005</c:v>
                </c:pt>
                <c:pt idx="2">
                  <c:v>0.80700000000000005</c:v>
                </c:pt>
                <c:pt idx="3">
                  <c:v>0.83399999999999996</c:v>
                </c:pt>
                <c:pt idx="4">
                  <c:v>0.85899999999999999</c:v>
                </c:pt>
                <c:pt idx="5">
                  <c:v>0.872</c:v>
                </c:pt>
                <c:pt idx="6">
                  <c:v>0.88200000000000001</c:v>
                </c:pt>
                <c:pt idx="7">
                  <c:v>0.873</c:v>
                </c:pt>
                <c:pt idx="8">
                  <c:v>0.871</c:v>
                </c:pt>
                <c:pt idx="9">
                  <c:v>0.871</c:v>
                </c:pt>
                <c:pt idx="10">
                  <c:v>0.85099999999999998</c:v>
                </c:pt>
              </c:numCache>
            </c:numRef>
          </c:val>
          <c:smooth val="0"/>
          <c:extLst>
            <c:ext xmlns:c16="http://schemas.microsoft.com/office/drawing/2014/chart" uri="{C3380CC4-5D6E-409C-BE32-E72D297353CC}">
              <c16:uniqueId val="{00000004-2D02-480D-886E-2FA539059F27}"/>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100" dirty="0"/>
              <a:t>Course Completion - International</a:t>
            </a:r>
          </a:p>
        </c:rich>
      </c:tx>
      <c:layout>
        <c:manualLayout>
          <c:xMode val="edge"/>
          <c:yMode val="edge"/>
          <c:x val="0.26421940524159065"/>
          <c:y val="0.8356089568541780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421148640267349"/>
          <c:y val="0.20126064672957145"/>
          <c:w val="0.640872972440514"/>
          <c:h val="0.38113303430126799"/>
        </c:manualLayout>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-4.7000000000000042E-2</c:v>
                </c:pt>
                <c:pt idx="1">
                  <c:v>-7.0000000000000062E-3</c:v>
                </c:pt>
                <c:pt idx="2">
                  <c:v>-2.8000000000000025E-2</c:v>
                </c:pt>
                <c:pt idx="3">
                  <c:v>-5.3000000000000047E-2</c:v>
                </c:pt>
                <c:pt idx="4">
                  <c:v>7.0000000000000062E-3</c:v>
                </c:pt>
                <c:pt idx="5">
                  <c:v>1.0000000000000009E-3</c:v>
                </c:pt>
                <c:pt idx="6">
                  <c:v>1.4000000000000012E-2</c:v>
                </c:pt>
                <c:pt idx="7">
                  <c:v>4.9000000000000044E-2</c:v>
                </c:pt>
                <c:pt idx="8">
                  <c:v>5.7000000000000051E-2</c:v>
                </c:pt>
                <c:pt idx="9">
                  <c:v>6.6000000000000059E-2</c:v>
                </c:pt>
                <c:pt idx="10">
                  <c:v>9.8999999999999977E-2</c:v>
                </c:pt>
              </c:numCache>
            </c:numRef>
          </c:val>
          <c:extLst>
            <c:ext xmlns:c16="http://schemas.microsoft.com/office/drawing/2014/chart" uri="{C3380CC4-5D6E-409C-BE32-E72D297353CC}">
              <c16:uniqueId val="{00000000-D897-4F92-A9D9-B8ACFBC63A3D}"/>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International</c:v>
                </c:pt>
              </c:strCache>
            </c:strRef>
          </c:tx>
          <c:spPr>
            <a:ln w="28575" cap="rnd">
              <a:solidFill>
                <a:schemeClr val="accent1"/>
              </a:solidFill>
              <a:round/>
            </a:ln>
            <a:effectLst/>
          </c:spPr>
          <c:marker>
            <c:symbol val="none"/>
          </c:marker>
          <c:dLbls>
            <c:dLbl>
              <c:idx val="10"/>
              <c:layout>
                <c:manualLayout>
                  <c:x val="-0.11845535173551076"/>
                  <c:y val="-4.30396367246229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97-4F92-A9D9-B8ACFBC63A3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c:formatCode>
                <c:ptCount val="11"/>
                <c:pt idx="0">
                  <c:v>0.71099999999999997</c:v>
                </c:pt>
                <c:pt idx="1">
                  <c:v>0.76800000000000002</c:v>
                </c:pt>
                <c:pt idx="2">
                  <c:v>0.74</c:v>
                </c:pt>
                <c:pt idx="3">
                  <c:v>0.73199999999999998</c:v>
                </c:pt>
                <c:pt idx="4">
                  <c:v>0.81200000000000006</c:v>
                </c:pt>
                <c:pt idx="5">
                  <c:v>0.82199999999999995</c:v>
                </c:pt>
                <c:pt idx="6">
                  <c:v>0.85399999999999998</c:v>
                </c:pt>
                <c:pt idx="7">
                  <c:v>0.872</c:v>
                </c:pt>
                <c:pt idx="8">
                  <c:v>0.879</c:v>
                </c:pt>
                <c:pt idx="9">
                  <c:v>0.88400000000000001</c:v>
                </c:pt>
                <c:pt idx="10">
                  <c:v>0.89500000000000002</c:v>
                </c:pt>
              </c:numCache>
            </c:numRef>
          </c:val>
          <c:smooth val="0"/>
          <c:extLst>
            <c:ext xmlns:c16="http://schemas.microsoft.com/office/drawing/2014/chart" uri="{C3380CC4-5D6E-409C-BE32-E72D297353CC}">
              <c16:uniqueId val="{00000002-D897-4F92-A9D9-B8ACFBC63A3D}"/>
            </c:ext>
          </c:extLst>
        </c:ser>
        <c:ser>
          <c:idx val="1"/>
          <c:order val="1"/>
          <c:tx>
            <c:strRef>
              <c:f>Sheet1!$C$1</c:f>
              <c:strCache>
                <c:ptCount val="1"/>
                <c:pt idx="0">
                  <c:v>Domestic</c:v>
                </c:pt>
              </c:strCache>
            </c:strRef>
          </c:tx>
          <c:spPr>
            <a:ln w="28575" cap="rnd">
              <a:solidFill>
                <a:schemeClr val="accent2"/>
              </a:solidFill>
              <a:round/>
            </a:ln>
            <a:effectLst/>
          </c:spPr>
          <c:marker>
            <c:symbol val="none"/>
          </c:marker>
          <c:dLbls>
            <c:dLbl>
              <c:idx val="10"/>
              <c:layout>
                <c:manualLayout>
                  <c:x val="-0.11845535173551076"/>
                  <c:y val="1.02788152276769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97-4F92-A9D9-B8ACFBC63A3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0.0%</c:formatCode>
                <c:ptCount val="11"/>
                <c:pt idx="0">
                  <c:v>0.75800000000000001</c:v>
                </c:pt>
                <c:pt idx="1">
                  <c:v>0.77500000000000002</c:v>
                </c:pt>
                <c:pt idx="2">
                  <c:v>0.76800000000000002</c:v>
                </c:pt>
                <c:pt idx="3">
                  <c:v>0.78500000000000003</c:v>
                </c:pt>
                <c:pt idx="4">
                  <c:v>0.80500000000000005</c:v>
                </c:pt>
                <c:pt idx="5">
                  <c:v>0.82099999999999995</c:v>
                </c:pt>
                <c:pt idx="6">
                  <c:v>0.84</c:v>
                </c:pt>
                <c:pt idx="7">
                  <c:v>0.82299999999999995</c:v>
                </c:pt>
                <c:pt idx="8">
                  <c:v>0.82199999999999995</c:v>
                </c:pt>
                <c:pt idx="9">
                  <c:v>0.81799999999999995</c:v>
                </c:pt>
                <c:pt idx="10">
                  <c:v>0.79600000000000004</c:v>
                </c:pt>
              </c:numCache>
            </c:numRef>
          </c:val>
          <c:smooth val="0"/>
          <c:extLst>
            <c:ext xmlns:c16="http://schemas.microsoft.com/office/drawing/2014/chart" uri="{C3380CC4-5D6E-409C-BE32-E72D297353CC}">
              <c16:uniqueId val="{00000004-D897-4F92-A9D9-B8ACFBC63A3D}"/>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min val="-0.2"/>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800" b="0" i="0" u="none" strike="noStrike" kern="1200" spc="0" baseline="0">
                <a:solidFill>
                  <a:schemeClr val="tx1">
                    <a:lumMod val="65000"/>
                    <a:lumOff val="35000"/>
                  </a:schemeClr>
                </a:solidFill>
                <a:latin typeface="+mn-lt"/>
                <a:ea typeface="+mn-ea"/>
                <a:cs typeface="+mn-cs"/>
              </a:defRPr>
            </a:pPr>
            <a:r>
              <a:rPr lang="en-NZ" sz="1400" dirty="0"/>
              <a:t>Cohort-based Qulification Completion Rates</a:t>
            </a:r>
          </a:p>
        </c:rich>
      </c:tx>
      <c:overlay val="0"/>
      <c:spPr>
        <a:noFill/>
        <a:ln>
          <a:noFill/>
        </a:ln>
        <a:effectLst/>
      </c:spPr>
      <c:txPr>
        <a:bodyPr rot="0" spcFirstLastPara="1" vertOverflow="ellipsis" vert="horz" wrap="square" anchor="ctr" anchorCtr="1"/>
        <a:lstStyle/>
        <a:p>
          <a:pPr>
            <a:defRPr sz="2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Universities</c:v>
                </c:pt>
              </c:strCache>
            </c:strRef>
          </c:tx>
          <c:spPr>
            <a:ln w="28575" cap="rnd">
              <a:solidFill>
                <a:schemeClr val="accent2">
                  <a:lumMod val="75000"/>
                </a:schemeClr>
              </a:solidFill>
              <a:round/>
            </a:ln>
            <a:effectLst/>
          </c:spPr>
          <c:marker>
            <c:symbol val="none"/>
          </c:marker>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Sheet1!$B$2:$B$11</c:f>
              <c:numCache>
                <c:formatCode>0.0%</c:formatCode>
                <c:ptCount val="10"/>
                <c:pt idx="0">
                  <c:v>0.53300000000000003</c:v>
                </c:pt>
                <c:pt idx="1">
                  <c:v>0.53700000000000003</c:v>
                </c:pt>
                <c:pt idx="2">
                  <c:v>0.54300000000000004</c:v>
                </c:pt>
                <c:pt idx="3">
                  <c:v>0.55300000000000005</c:v>
                </c:pt>
                <c:pt idx="4">
                  <c:v>0.56100000000000005</c:v>
                </c:pt>
                <c:pt idx="5">
                  <c:v>0.58099999999999996</c:v>
                </c:pt>
                <c:pt idx="6">
                  <c:v>0.60299999999999998</c:v>
                </c:pt>
                <c:pt idx="7">
                  <c:v>0.629</c:v>
                </c:pt>
                <c:pt idx="8">
                  <c:v>0.63300000000000001</c:v>
                </c:pt>
              </c:numCache>
            </c:numRef>
          </c:val>
          <c:smooth val="0"/>
          <c:extLst>
            <c:ext xmlns:c16="http://schemas.microsoft.com/office/drawing/2014/chart" uri="{C3380CC4-5D6E-409C-BE32-E72D297353CC}">
              <c16:uniqueId val="{00000000-F042-4EBE-8D32-900C29C696FF}"/>
            </c:ext>
          </c:extLst>
        </c:ser>
        <c:ser>
          <c:idx val="1"/>
          <c:order val="1"/>
          <c:tx>
            <c:strRef>
              <c:f>Sheet1!$C$1</c:f>
              <c:strCache>
                <c:ptCount val="1"/>
                <c:pt idx="0">
                  <c:v>ITPs</c:v>
                </c:pt>
              </c:strCache>
            </c:strRef>
          </c:tx>
          <c:spPr>
            <a:ln w="28575" cap="rnd">
              <a:solidFill>
                <a:srgbClr val="0070C0"/>
              </a:solidFill>
              <a:round/>
            </a:ln>
            <a:effectLst/>
          </c:spPr>
          <c:marker>
            <c:symbol val="none"/>
          </c:marker>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Sheet1!$C$2:$C$11</c:f>
              <c:numCache>
                <c:formatCode>0.0%</c:formatCode>
                <c:ptCount val="10"/>
                <c:pt idx="0">
                  <c:v>0.28599999999999998</c:v>
                </c:pt>
                <c:pt idx="1">
                  <c:v>0.32700000000000001</c:v>
                </c:pt>
                <c:pt idx="2">
                  <c:v>0.373</c:v>
                </c:pt>
                <c:pt idx="3">
                  <c:v>0.41399999999999998</c:v>
                </c:pt>
                <c:pt idx="4">
                  <c:v>0.441</c:v>
                </c:pt>
                <c:pt idx="5">
                  <c:v>0.49099999999999999</c:v>
                </c:pt>
                <c:pt idx="6">
                  <c:v>0.51800000000000002</c:v>
                </c:pt>
                <c:pt idx="7">
                  <c:v>0.50800000000000001</c:v>
                </c:pt>
                <c:pt idx="8">
                  <c:v>0.53100000000000003</c:v>
                </c:pt>
              </c:numCache>
            </c:numRef>
          </c:val>
          <c:smooth val="0"/>
          <c:extLst>
            <c:ext xmlns:c16="http://schemas.microsoft.com/office/drawing/2014/chart" uri="{C3380CC4-5D6E-409C-BE32-E72D297353CC}">
              <c16:uniqueId val="{00000001-F042-4EBE-8D32-900C29C696FF}"/>
            </c:ext>
          </c:extLst>
        </c:ser>
        <c:ser>
          <c:idx val="2"/>
          <c:order val="2"/>
          <c:tx>
            <c:strRef>
              <c:f>Sheet1!$D$1</c:f>
              <c:strCache>
                <c:ptCount val="1"/>
                <c:pt idx="0">
                  <c:v>Unitec</c:v>
                </c:pt>
              </c:strCache>
            </c:strRef>
          </c:tx>
          <c:spPr>
            <a:ln w="28575" cap="rnd">
              <a:solidFill>
                <a:srgbClr val="298224"/>
              </a:solidFill>
              <a:round/>
            </a:ln>
            <a:effectLst/>
          </c:spPr>
          <c:marker>
            <c:symbol val="none"/>
          </c:marker>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Sheet1!$D$2:$D$11</c:f>
              <c:numCache>
                <c:formatCode>0.0%</c:formatCode>
                <c:ptCount val="10"/>
                <c:pt idx="0">
                  <c:v>0.47699999999999998</c:v>
                </c:pt>
                <c:pt idx="1">
                  <c:v>0.46500000000000002</c:v>
                </c:pt>
                <c:pt idx="2">
                  <c:v>0.434</c:v>
                </c:pt>
                <c:pt idx="3">
                  <c:v>0.46700000000000003</c:v>
                </c:pt>
                <c:pt idx="4">
                  <c:v>0.438</c:v>
                </c:pt>
                <c:pt idx="5">
                  <c:v>0.49199999999999999</c:v>
                </c:pt>
                <c:pt idx="6">
                  <c:v>0.55300000000000005</c:v>
                </c:pt>
                <c:pt idx="7">
                  <c:v>0.54200000000000004</c:v>
                </c:pt>
                <c:pt idx="8">
                  <c:v>0.58399999999999996</c:v>
                </c:pt>
                <c:pt idx="9">
                  <c:v>0.54400000000000004</c:v>
                </c:pt>
              </c:numCache>
            </c:numRef>
          </c:val>
          <c:smooth val="0"/>
          <c:extLst>
            <c:ext xmlns:c16="http://schemas.microsoft.com/office/drawing/2014/chart" uri="{C3380CC4-5D6E-409C-BE32-E72D297353CC}">
              <c16:uniqueId val="{00000002-F042-4EBE-8D32-900C29C696FF}"/>
            </c:ext>
          </c:extLst>
        </c:ser>
        <c:dLbls>
          <c:showLegendKey val="0"/>
          <c:showVal val="0"/>
          <c:showCatName val="0"/>
          <c:showSerName val="0"/>
          <c:showPercent val="0"/>
          <c:showBubbleSize val="0"/>
        </c:dLbls>
        <c:smooth val="0"/>
        <c:axId val="683839167"/>
        <c:axId val="683835839"/>
      </c:lineChart>
      <c:catAx>
        <c:axId val="683839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683835839"/>
        <c:crosses val="autoZero"/>
        <c:auto val="1"/>
        <c:lblAlgn val="ctr"/>
        <c:lblOffset val="100"/>
        <c:noMultiLvlLbl val="0"/>
      </c:catAx>
      <c:valAx>
        <c:axId val="683835839"/>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83839167"/>
        <c:crosses val="autoZero"/>
        <c:crossBetween val="between"/>
        <c:majorUnit val="0.1"/>
      </c:valAx>
      <c:dTable>
        <c:showHorzBorder val="1"/>
        <c:showVertBorder val="1"/>
        <c:showOutline val="1"/>
        <c:showKeys val="1"/>
        <c:spPr>
          <a:noFill/>
          <a:ln w="9525" cap="flat" cmpd="sng" algn="ctr">
            <a:solidFill>
              <a:schemeClr val="bg1">
                <a:lumMod val="50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solidFill>
            <a:schemeClr val="bg1">
              <a:lumMod val="50000"/>
            </a:schemeClr>
          </a:solid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bg1">
          <a:lumMod val="50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100" dirty="0"/>
              <a:t>Qual Completion - Māori</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-0.123</c:v>
                </c:pt>
                <c:pt idx="1">
                  <c:v>-0.16399999999999998</c:v>
                </c:pt>
                <c:pt idx="2">
                  <c:v>-0.14899999999999997</c:v>
                </c:pt>
                <c:pt idx="3">
                  <c:v>-0.14100000000000001</c:v>
                </c:pt>
                <c:pt idx="4">
                  <c:v>-5.5999999999999994E-2</c:v>
                </c:pt>
                <c:pt idx="5">
                  <c:v>-2.0000000000000018E-3</c:v>
                </c:pt>
                <c:pt idx="6">
                  <c:v>-8.0000000000000016E-2</c:v>
                </c:pt>
                <c:pt idx="7">
                  <c:v>-8.7000000000000077E-2</c:v>
                </c:pt>
                <c:pt idx="8">
                  <c:v>-9.3000000000000027E-2</c:v>
                </c:pt>
                <c:pt idx="9">
                  <c:v>-0.11699999999999999</c:v>
                </c:pt>
                <c:pt idx="10">
                  <c:v>-8.4000000000000019E-2</c:v>
                </c:pt>
              </c:numCache>
            </c:numRef>
          </c:val>
          <c:extLst>
            <c:ext xmlns:c16="http://schemas.microsoft.com/office/drawing/2014/chart" uri="{C3380CC4-5D6E-409C-BE32-E72D297353CC}">
              <c16:uniqueId val="{00000000-138A-47AE-9FC5-E91EC51EDA30}"/>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Māori</c:v>
                </c:pt>
              </c:strCache>
            </c:strRef>
          </c:tx>
          <c:spPr>
            <a:ln w="28575" cap="rnd">
              <a:solidFill>
                <a:schemeClr val="accent1"/>
              </a:solidFill>
              <a:round/>
            </a:ln>
            <a:effectLst/>
          </c:spPr>
          <c:marker>
            <c:symbol val="none"/>
          </c:marker>
          <c:dLbls>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8A-47AE-9FC5-E91EC51EDA3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c:formatCode>
                <c:ptCount val="11"/>
                <c:pt idx="0">
                  <c:v>5.0999999999999997E-2</c:v>
                </c:pt>
                <c:pt idx="1">
                  <c:v>0.32200000000000001</c:v>
                </c:pt>
                <c:pt idx="2">
                  <c:v>0.32400000000000001</c:v>
                </c:pt>
                <c:pt idx="3">
                  <c:v>0.30099999999999999</c:v>
                </c:pt>
                <c:pt idx="4">
                  <c:v>0.41499999999999998</c:v>
                </c:pt>
                <c:pt idx="5">
                  <c:v>0.439</c:v>
                </c:pt>
                <c:pt idx="6">
                  <c:v>0.41599999999999998</c:v>
                </c:pt>
                <c:pt idx="7">
                  <c:v>0.47099999999999997</c:v>
                </c:pt>
                <c:pt idx="8">
                  <c:v>0.45500000000000002</c:v>
                </c:pt>
                <c:pt idx="9">
                  <c:v>0.47399999999999998</c:v>
                </c:pt>
                <c:pt idx="10">
                  <c:v>0.46400000000000002</c:v>
                </c:pt>
              </c:numCache>
            </c:numRef>
          </c:val>
          <c:smooth val="0"/>
          <c:extLst>
            <c:ext xmlns:c16="http://schemas.microsoft.com/office/drawing/2014/chart" uri="{C3380CC4-5D6E-409C-BE32-E72D297353CC}">
              <c16:uniqueId val="{00000002-138A-47AE-9FC5-E91EC51EDA30}"/>
            </c:ext>
          </c:extLst>
        </c:ser>
        <c:ser>
          <c:idx val="1"/>
          <c:order val="1"/>
          <c:tx>
            <c:strRef>
              <c:f>Sheet1!$C$1</c:f>
              <c:strCache>
                <c:ptCount val="1"/>
                <c:pt idx="0">
                  <c:v>Non-Māori</c:v>
                </c:pt>
              </c:strCache>
            </c:strRef>
          </c:tx>
          <c:spPr>
            <a:ln w="28575" cap="rnd">
              <a:solidFill>
                <a:schemeClr val="accent2"/>
              </a:solidFill>
              <a:round/>
            </a:ln>
            <a:effectLst/>
          </c:spPr>
          <c:marker>
            <c:symbol val="none"/>
          </c:marker>
          <c:dLbls>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8A-47AE-9FC5-E91EC51EDA3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0.0%</c:formatCode>
                <c:ptCount val="11"/>
                <c:pt idx="0">
                  <c:v>0.17399999999999999</c:v>
                </c:pt>
                <c:pt idx="1">
                  <c:v>0.48599999999999999</c:v>
                </c:pt>
                <c:pt idx="2">
                  <c:v>0.47299999999999998</c:v>
                </c:pt>
                <c:pt idx="3">
                  <c:v>0.442</c:v>
                </c:pt>
                <c:pt idx="4">
                  <c:v>0.47099999999999997</c:v>
                </c:pt>
                <c:pt idx="5">
                  <c:v>0.441</c:v>
                </c:pt>
                <c:pt idx="6">
                  <c:v>0.496</c:v>
                </c:pt>
                <c:pt idx="7">
                  <c:v>0.55800000000000005</c:v>
                </c:pt>
                <c:pt idx="8">
                  <c:v>0.54800000000000004</c:v>
                </c:pt>
                <c:pt idx="9">
                  <c:v>0.59099999999999997</c:v>
                </c:pt>
                <c:pt idx="10">
                  <c:v>0.54800000000000004</c:v>
                </c:pt>
              </c:numCache>
            </c:numRef>
          </c:val>
          <c:smooth val="0"/>
          <c:extLst>
            <c:ext xmlns:c16="http://schemas.microsoft.com/office/drawing/2014/chart" uri="{C3380CC4-5D6E-409C-BE32-E72D297353CC}">
              <c16:uniqueId val="{00000004-138A-47AE-9FC5-E91EC51EDA30}"/>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200" b="0" i="0" u="none" strike="noStrike" baseline="0" dirty="0">
                <a:effectLst/>
              </a:rPr>
              <a:t>Qualification Completion </a:t>
            </a:r>
            <a:r>
              <a:rPr lang="en-NZ" sz="1100" dirty="0"/>
              <a:t>- Pacific</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-7.2000000000000008E-2</c:v>
                </c:pt>
                <c:pt idx="1">
                  <c:v>-0.16999999999999998</c:v>
                </c:pt>
                <c:pt idx="2">
                  <c:v>-0.16699999999999998</c:v>
                </c:pt>
                <c:pt idx="3">
                  <c:v>-0.128</c:v>
                </c:pt>
                <c:pt idx="4">
                  <c:v>-0.14899999999999997</c:v>
                </c:pt>
                <c:pt idx="5">
                  <c:v>-8.1000000000000016E-2</c:v>
                </c:pt>
                <c:pt idx="6">
                  <c:v>-7.1000000000000008E-2</c:v>
                </c:pt>
                <c:pt idx="7">
                  <c:v>-7.3000000000000065E-2</c:v>
                </c:pt>
                <c:pt idx="8">
                  <c:v>-7.6000000000000068E-2</c:v>
                </c:pt>
                <c:pt idx="9">
                  <c:v>-6.899999999999995E-2</c:v>
                </c:pt>
                <c:pt idx="10">
                  <c:v>-0.12400000000000005</c:v>
                </c:pt>
              </c:numCache>
            </c:numRef>
          </c:val>
          <c:extLst>
            <c:ext xmlns:c16="http://schemas.microsoft.com/office/drawing/2014/chart" uri="{C3380CC4-5D6E-409C-BE32-E72D297353CC}">
              <c16:uniqueId val="{00000000-8B3D-4225-B3D7-68E7319C0082}"/>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Pacific</c:v>
                </c:pt>
              </c:strCache>
            </c:strRef>
          </c:tx>
          <c:spPr>
            <a:ln w="28575" cap="rnd">
              <a:solidFill>
                <a:schemeClr val="accent1"/>
              </a:solidFill>
              <a:round/>
            </a:ln>
            <a:effectLst/>
          </c:spPr>
          <c:marker>
            <c:symbol val="none"/>
          </c:marker>
          <c:dLbls>
            <c:dLbl>
              <c:idx val="10"/>
              <c:layout>
                <c:manualLayout>
                  <c:x val="-0.1409090909090909"/>
                  <c:y val="2.65076209410205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3D-4225-B3D7-68E7319C008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c:formatCode>
                <c:ptCount val="11"/>
                <c:pt idx="0">
                  <c:v>8.8999999999999996E-2</c:v>
                </c:pt>
                <c:pt idx="1">
                  <c:v>0.31900000000000001</c:v>
                </c:pt>
                <c:pt idx="2">
                  <c:v>0.312</c:v>
                </c:pt>
                <c:pt idx="3">
                  <c:v>0.318</c:v>
                </c:pt>
                <c:pt idx="4">
                  <c:v>0.33700000000000002</c:v>
                </c:pt>
                <c:pt idx="5">
                  <c:v>0.36799999999999999</c:v>
                </c:pt>
                <c:pt idx="6">
                  <c:v>0.42699999999999999</c:v>
                </c:pt>
                <c:pt idx="7">
                  <c:v>0.48699999999999999</c:v>
                </c:pt>
                <c:pt idx="8">
                  <c:v>0.47399999999999998</c:v>
                </c:pt>
                <c:pt idx="9">
                  <c:v>0.52</c:v>
                </c:pt>
                <c:pt idx="10">
                  <c:v>0.433</c:v>
                </c:pt>
              </c:numCache>
            </c:numRef>
          </c:val>
          <c:smooth val="0"/>
          <c:extLst>
            <c:ext xmlns:c16="http://schemas.microsoft.com/office/drawing/2014/chart" uri="{C3380CC4-5D6E-409C-BE32-E72D297353CC}">
              <c16:uniqueId val="{00000002-8B3D-4225-B3D7-68E7319C0082}"/>
            </c:ext>
          </c:extLst>
        </c:ser>
        <c:ser>
          <c:idx val="1"/>
          <c:order val="1"/>
          <c:tx>
            <c:strRef>
              <c:f>Sheet1!$C$1</c:f>
              <c:strCache>
                <c:ptCount val="1"/>
                <c:pt idx="0">
                  <c:v>Non-Pacific</c:v>
                </c:pt>
              </c:strCache>
            </c:strRef>
          </c:tx>
          <c:spPr>
            <a:ln w="28575" cap="rnd">
              <a:solidFill>
                <a:schemeClr val="accent2"/>
              </a:solidFill>
              <a:round/>
            </a:ln>
            <a:effectLst/>
          </c:spPr>
          <c:marker>
            <c:symbol val="none"/>
          </c:marker>
          <c:dLbls>
            <c:dLbl>
              <c:idx val="10"/>
              <c:layout>
                <c:manualLayout>
                  <c:x val="-0.14545454545454545"/>
                  <c:y val="-7.289595758780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3D-4225-B3D7-68E7319C008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0.0%</c:formatCode>
                <c:ptCount val="11"/>
                <c:pt idx="0">
                  <c:v>0.161</c:v>
                </c:pt>
                <c:pt idx="1">
                  <c:v>0.48899999999999999</c:v>
                </c:pt>
                <c:pt idx="2">
                  <c:v>0.47899999999999998</c:v>
                </c:pt>
                <c:pt idx="3">
                  <c:v>0.44600000000000001</c:v>
                </c:pt>
                <c:pt idx="4">
                  <c:v>0.48599999999999999</c:v>
                </c:pt>
                <c:pt idx="5">
                  <c:v>0.44900000000000001</c:v>
                </c:pt>
                <c:pt idx="6">
                  <c:v>0.498</c:v>
                </c:pt>
                <c:pt idx="7">
                  <c:v>0.56000000000000005</c:v>
                </c:pt>
                <c:pt idx="8">
                  <c:v>0.55000000000000004</c:v>
                </c:pt>
                <c:pt idx="9">
                  <c:v>0.58899999999999997</c:v>
                </c:pt>
                <c:pt idx="10">
                  <c:v>0.55700000000000005</c:v>
                </c:pt>
              </c:numCache>
            </c:numRef>
          </c:val>
          <c:smooth val="0"/>
          <c:extLst>
            <c:ext xmlns:c16="http://schemas.microsoft.com/office/drawing/2014/chart" uri="{C3380CC4-5D6E-409C-BE32-E72D297353CC}">
              <c16:uniqueId val="{00000004-8B3D-4225-B3D7-68E7319C0082}"/>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NZ" sz="1200" b="0" i="0" u="none" strike="noStrike" baseline="0" dirty="0">
                <a:effectLst/>
              </a:rPr>
              <a:t>Qual Completion </a:t>
            </a:r>
            <a:r>
              <a:rPr lang="en-NZ" sz="1100" dirty="0"/>
              <a:t>– Under 25yrs</a:t>
            </a:r>
          </a:p>
        </c:rich>
      </c:tx>
      <c:layout>
        <c:manualLayout>
          <c:xMode val="edge"/>
          <c:yMode val="edge"/>
          <c:x val="0.12741838685433676"/>
          <c:y val="2.730068458078831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421148640267349"/>
          <c:y val="0.19580050981341379"/>
          <c:w val="0.670420798400572"/>
          <c:h val="0.44665467729515995"/>
        </c:manualLayout>
      </c:layout>
      <c:barChart>
        <c:barDir val="col"/>
        <c:grouping val="clustered"/>
        <c:varyColors val="0"/>
        <c:ser>
          <c:idx val="2"/>
          <c:order val="2"/>
          <c:tx>
            <c:strRef>
              <c:f>Sheet1!$D$1</c:f>
              <c:strCache>
                <c:ptCount val="1"/>
                <c:pt idx="0">
                  <c:v>variance</c:v>
                </c:pt>
              </c:strCache>
            </c:strRef>
          </c:tx>
          <c:spPr>
            <a:solidFill>
              <a:schemeClr val="accent3"/>
            </a:solidFill>
            <a:ln>
              <a:noFill/>
            </a:ln>
            <a:effectLst/>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0.0%</c:formatCode>
                <c:ptCount val="11"/>
                <c:pt idx="0">
                  <c:v>-0.11799999999999999</c:v>
                </c:pt>
                <c:pt idx="1">
                  <c:v>2.6999999999999968E-2</c:v>
                </c:pt>
                <c:pt idx="2">
                  <c:v>5.099999999999999E-2</c:v>
                </c:pt>
                <c:pt idx="3">
                  <c:v>0</c:v>
                </c:pt>
                <c:pt idx="4">
                  <c:v>8.4000000000000019E-2</c:v>
                </c:pt>
                <c:pt idx="5">
                  <c:v>-4.500000000000004E-2</c:v>
                </c:pt>
                <c:pt idx="6">
                  <c:v>9.1000000000000025E-2</c:v>
                </c:pt>
                <c:pt idx="7">
                  <c:v>8.6999999999999966E-2</c:v>
                </c:pt>
                <c:pt idx="8">
                  <c:v>6.9999999999999951E-2</c:v>
                </c:pt>
                <c:pt idx="9">
                  <c:v>1.0000000000000009E-2</c:v>
                </c:pt>
                <c:pt idx="10">
                  <c:v>7.0000000000000062E-3</c:v>
                </c:pt>
              </c:numCache>
            </c:numRef>
          </c:val>
          <c:extLst>
            <c:ext xmlns:c16="http://schemas.microsoft.com/office/drawing/2014/chart" uri="{C3380CC4-5D6E-409C-BE32-E72D297353CC}">
              <c16:uniqueId val="{00000000-E1CE-49A5-AE2D-3E5A79EA8267}"/>
            </c:ext>
          </c:extLst>
        </c:ser>
        <c:dLbls>
          <c:showLegendKey val="0"/>
          <c:showVal val="0"/>
          <c:showCatName val="0"/>
          <c:showSerName val="0"/>
          <c:showPercent val="0"/>
          <c:showBubbleSize val="0"/>
        </c:dLbls>
        <c:gapWidth val="150"/>
        <c:axId val="489416208"/>
        <c:axId val="489410960"/>
      </c:barChart>
      <c:lineChart>
        <c:grouping val="standard"/>
        <c:varyColors val="0"/>
        <c:ser>
          <c:idx val="0"/>
          <c:order val="0"/>
          <c:tx>
            <c:strRef>
              <c:f>Sheet1!$B$1</c:f>
              <c:strCache>
                <c:ptCount val="1"/>
                <c:pt idx="0">
                  <c:v>Under 25yrs</c:v>
                </c:pt>
              </c:strCache>
            </c:strRef>
          </c:tx>
          <c:spPr>
            <a:ln w="28575" cap="rnd">
              <a:solidFill>
                <a:schemeClr val="accent1"/>
              </a:solidFill>
              <a:round/>
            </a:ln>
            <a:effectLst/>
          </c:spPr>
          <c:marker>
            <c:symbol val="none"/>
          </c:marker>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c:formatCode>
                <c:ptCount val="11"/>
                <c:pt idx="0">
                  <c:v>0.24</c:v>
                </c:pt>
                <c:pt idx="1">
                  <c:v>0.46100000000000002</c:v>
                </c:pt>
                <c:pt idx="2">
                  <c:v>0.433</c:v>
                </c:pt>
                <c:pt idx="3">
                  <c:v>0.434</c:v>
                </c:pt>
                <c:pt idx="4">
                  <c:v>0.42799999999999999</c:v>
                </c:pt>
                <c:pt idx="5">
                  <c:v>0.45700000000000002</c:v>
                </c:pt>
                <c:pt idx="6">
                  <c:v>0.45400000000000001</c:v>
                </c:pt>
                <c:pt idx="7">
                  <c:v>0.51500000000000001</c:v>
                </c:pt>
                <c:pt idx="8">
                  <c:v>0.51300000000000001</c:v>
                </c:pt>
                <c:pt idx="9">
                  <c:v>0.57999999999999996</c:v>
                </c:pt>
                <c:pt idx="10">
                  <c:v>0.54100000000000004</c:v>
                </c:pt>
              </c:numCache>
            </c:numRef>
          </c:val>
          <c:smooth val="0"/>
          <c:extLst>
            <c:ext xmlns:c16="http://schemas.microsoft.com/office/drawing/2014/chart" uri="{C3380CC4-5D6E-409C-BE32-E72D297353CC}">
              <c16:uniqueId val="{00000001-E1CE-49A5-AE2D-3E5A79EA8267}"/>
            </c:ext>
          </c:extLst>
        </c:ser>
        <c:ser>
          <c:idx val="1"/>
          <c:order val="1"/>
          <c:tx>
            <c:strRef>
              <c:f>Sheet1!$C$1</c:f>
              <c:strCache>
                <c:ptCount val="1"/>
                <c:pt idx="0">
                  <c:v>25+yrs</c:v>
                </c:pt>
              </c:strCache>
            </c:strRef>
          </c:tx>
          <c:spPr>
            <a:ln w="28575" cap="rnd">
              <a:solidFill>
                <a:schemeClr val="accent2"/>
              </a:solidFill>
              <a:round/>
            </a:ln>
            <a:effectLst/>
          </c:spPr>
          <c:marker>
            <c:symbol val="none"/>
          </c:marker>
          <c:dLbls>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CE-49A5-AE2D-3E5A79EA826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0.0%</c:formatCode>
                <c:ptCount val="11"/>
                <c:pt idx="0">
                  <c:v>0.122</c:v>
                </c:pt>
                <c:pt idx="1">
                  <c:v>0.48799999999999999</c:v>
                </c:pt>
                <c:pt idx="2">
                  <c:v>0.48399999999999999</c:v>
                </c:pt>
                <c:pt idx="3">
                  <c:v>0.434</c:v>
                </c:pt>
                <c:pt idx="4">
                  <c:v>0.51200000000000001</c:v>
                </c:pt>
                <c:pt idx="5">
                  <c:v>0.41199999999999998</c:v>
                </c:pt>
                <c:pt idx="6">
                  <c:v>0.54500000000000004</c:v>
                </c:pt>
                <c:pt idx="7">
                  <c:v>0.60199999999999998</c:v>
                </c:pt>
                <c:pt idx="8">
                  <c:v>0.58299999999999996</c:v>
                </c:pt>
                <c:pt idx="9">
                  <c:v>0.59</c:v>
                </c:pt>
                <c:pt idx="10">
                  <c:v>0.54800000000000004</c:v>
                </c:pt>
              </c:numCache>
            </c:numRef>
          </c:val>
          <c:smooth val="0"/>
          <c:extLst>
            <c:ext xmlns:c16="http://schemas.microsoft.com/office/drawing/2014/chart" uri="{C3380CC4-5D6E-409C-BE32-E72D297353CC}">
              <c16:uniqueId val="{00000003-E1CE-49A5-AE2D-3E5A79EA8267}"/>
            </c:ext>
          </c:extLst>
        </c:ser>
        <c:dLbls>
          <c:showLegendKey val="0"/>
          <c:showVal val="0"/>
          <c:showCatName val="0"/>
          <c:showSerName val="0"/>
          <c:showPercent val="0"/>
          <c:showBubbleSize val="0"/>
        </c:dLbls>
        <c:marker val="1"/>
        <c:smooth val="0"/>
        <c:axId val="507836416"/>
        <c:axId val="212973800"/>
      </c:lineChart>
      <c:catAx>
        <c:axId val="50783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2973800"/>
        <c:crosses val="autoZero"/>
        <c:auto val="1"/>
        <c:lblAlgn val="ctr"/>
        <c:lblOffset val="100"/>
        <c:noMultiLvlLbl val="0"/>
      </c:catAx>
      <c:valAx>
        <c:axId val="21297380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07836416"/>
        <c:crosses val="autoZero"/>
        <c:crossBetween val="between"/>
      </c:valAx>
      <c:valAx>
        <c:axId val="489410960"/>
        <c:scaling>
          <c:orientation val="minMax"/>
          <c:max val="0.30000000000000004"/>
          <c:min val="-0.2"/>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89416208"/>
        <c:crosses val="max"/>
        <c:crossBetween val="between"/>
      </c:valAx>
      <c:catAx>
        <c:axId val="489416208"/>
        <c:scaling>
          <c:orientation val="minMax"/>
        </c:scaling>
        <c:delete val="1"/>
        <c:axPos val="b"/>
        <c:numFmt formatCode="General" sourceLinked="1"/>
        <c:majorTickMark val="out"/>
        <c:minorTickMark val="none"/>
        <c:tickLblPos val="nextTo"/>
        <c:crossAx val="489410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EFC4-2958-44F9-BA5B-5E6185BD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4545</Words>
  <Characters>25908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Honey</dc:creator>
  <cp:keywords/>
  <dc:description/>
  <cp:lastModifiedBy>Simon Tries</cp:lastModifiedBy>
  <cp:revision>6</cp:revision>
  <dcterms:created xsi:type="dcterms:W3CDTF">2019-07-03T08:05:00Z</dcterms:created>
  <dcterms:modified xsi:type="dcterms:W3CDTF">2019-07-03T17:04:00Z</dcterms:modified>
</cp:coreProperties>
</file>