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35C3" w14:textId="77777777" w:rsidR="009D12C6" w:rsidRPr="00DD6485" w:rsidRDefault="009D12C6" w:rsidP="009D12C6">
      <w:pPr>
        <w:pStyle w:val="Heading1"/>
      </w:pPr>
      <w:bookmarkStart w:id="0" w:name="_Toc531781545"/>
      <w:bookmarkStart w:id="1" w:name="_Toc531894498"/>
      <w:bookmarkStart w:id="2" w:name="_GoBack"/>
      <w:bookmarkEnd w:id="2"/>
      <w:r w:rsidRPr="00DD6485">
        <w:t>T</w:t>
      </w:r>
      <w:r>
        <w:t xml:space="preserve">ertiary </w:t>
      </w:r>
      <w:r w:rsidRPr="00DD6485">
        <w:t>E</w:t>
      </w:r>
      <w:r>
        <w:t xml:space="preserve">valuation </w:t>
      </w:r>
      <w:r w:rsidRPr="00DD6485">
        <w:t>I</w:t>
      </w:r>
      <w:r>
        <w:t>ndicators</w:t>
      </w:r>
      <w:r w:rsidRPr="00DD6485">
        <w:t xml:space="preserve"> </w:t>
      </w:r>
      <w:r>
        <w:t xml:space="preserve">(TEIs) </w:t>
      </w:r>
      <w:r w:rsidRPr="00DD6485">
        <w:t>matching each KEQ</w:t>
      </w:r>
      <w:bookmarkEnd w:id="0"/>
      <w:bookmarkEnd w:id="1"/>
    </w:p>
    <w:p w14:paraId="2EB83A21" w14:textId="77777777" w:rsidR="009D12C6" w:rsidRPr="002F763A" w:rsidRDefault="009D12C6" w:rsidP="009D12C6">
      <w:pPr>
        <w:pStyle w:val="BodyText"/>
        <w:rPr>
          <w:b/>
        </w:rPr>
      </w:pPr>
      <w:r w:rsidRPr="002F763A">
        <w:rPr>
          <w:b/>
        </w:rPr>
        <w:t>KEQ 1: How well do students achieve?</w:t>
      </w:r>
    </w:p>
    <w:p w14:paraId="6C9AD7FB" w14:textId="77777777" w:rsidR="009D12C6" w:rsidRPr="00DD6485" w:rsidRDefault="009D12C6" w:rsidP="009D12C6">
      <w:pPr>
        <w:pStyle w:val="TableParagraph"/>
        <w:ind w:left="0"/>
        <w:rPr>
          <w:rFonts w:asciiTheme="minorHAnsi" w:hAnsiTheme="minorHAnsi"/>
          <w:color w:val="010101"/>
        </w:rPr>
      </w:pPr>
      <w:r w:rsidRPr="00DD6485">
        <w:rPr>
          <w:rFonts w:asciiTheme="minorHAnsi" w:hAnsiTheme="minorHAnsi"/>
          <w:color w:val="010101"/>
        </w:rPr>
        <w:t>TEI indicators:</w:t>
      </w:r>
    </w:p>
    <w:p w14:paraId="0B5CA9C7" w14:textId="77777777" w:rsidR="009D12C6" w:rsidRPr="00DD6485" w:rsidRDefault="009D12C6" w:rsidP="009D12C6">
      <w:pPr>
        <w:pStyle w:val="TableParagraph"/>
        <w:numPr>
          <w:ilvl w:val="0"/>
          <w:numId w:val="1"/>
        </w:numPr>
        <w:autoSpaceDE/>
        <w:autoSpaceDN/>
        <w:rPr>
          <w:rFonts w:asciiTheme="minorHAnsi" w:hAnsiTheme="minorHAnsi"/>
        </w:rPr>
      </w:pPr>
      <w:r w:rsidRPr="00DD6485">
        <w:rPr>
          <w:rFonts w:asciiTheme="minorHAnsi" w:hAnsiTheme="minorHAnsi"/>
        </w:rPr>
        <w:t>Students acquire useful skills and knowledge and develop their cognitive abilities.</w:t>
      </w:r>
    </w:p>
    <w:p w14:paraId="7CE9F8DA" w14:textId="77777777" w:rsidR="009D12C6" w:rsidRPr="00DD6485" w:rsidRDefault="009D12C6" w:rsidP="009D12C6">
      <w:pPr>
        <w:pStyle w:val="TableParagraph"/>
        <w:numPr>
          <w:ilvl w:val="0"/>
          <w:numId w:val="1"/>
        </w:numPr>
        <w:autoSpaceDE/>
        <w:autoSpaceDN/>
        <w:rPr>
          <w:rFonts w:asciiTheme="minorHAnsi" w:hAnsiTheme="minorHAnsi"/>
        </w:rPr>
      </w:pPr>
      <w:r w:rsidRPr="00DD6485">
        <w:rPr>
          <w:rFonts w:asciiTheme="minorHAnsi" w:hAnsiTheme="minorHAnsi"/>
        </w:rPr>
        <w:t xml:space="preserve">Students complete courses and/or gain qualifications.  </w:t>
      </w:r>
    </w:p>
    <w:p w14:paraId="36FCC0ED" w14:textId="77777777" w:rsidR="009D12C6" w:rsidRPr="00DD6485" w:rsidRDefault="009D12C6" w:rsidP="009D12C6">
      <w:pPr>
        <w:pStyle w:val="TableParagraph"/>
        <w:autoSpaceDE/>
        <w:autoSpaceDN/>
        <w:ind w:left="0"/>
        <w:rPr>
          <w:rFonts w:asciiTheme="minorHAnsi" w:hAnsiTheme="minorHAnsi"/>
        </w:rPr>
      </w:pPr>
    </w:p>
    <w:p w14:paraId="19821626" w14:textId="77777777" w:rsidR="009D12C6" w:rsidRPr="00DD6485" w:rsidRDefault="009D12C6" w:rsidP="009D12C6">
      <w:pPr>
        <w:pStyle w:val="TableParagraph"/>
        <w:autoSpaceDE/>
        <w:autoSpaceDN/>
        <w:spacing w:line="259" w:lineRule="auto"/>
        <w:ind w:left="0"/>
        <w:rPr>
          <w:rFonts w:asciiTheme="minorHAnsi" w:hAnsiTheme="minorHAnsi"/>
          <w:b/>
        </w:rPr>
      </w:pPr>
      <w:r w:rsidRPr="00DD6485">
        <w:rPr>
          <w:rFonts w:asciiTheme="minorHAnsi" w:hAnsiTheme="minorHAnsi"/>
          <w:b/>
        </w:rPr>
        <w:t>KEQ 2: What is the value of the outcomes for key stakeholders, including students?</w:t>
      </w:r>
    </w:p>
    <w:p w14:paraId="2E985F50" w14:textId="77777777" w:rsidR="009D12C6" w:rsidRPr="00DD6485" w:rsidRDefault="009D12C6" w:rsidP="009D12C6">
      <w:pPr>
        <w:pStyle w:val="TableParagraph"/>
        <w:ind w:left="0"/>
        <w:rPr>
          <w:rFonts w:asciiTheme="minorHAnsi" w:hAnsiTheme="minorHAnsi"/>
          <w:color w:val="010101"/>
        </w:rPr>
      </w:pPr>
      <w:r>
        <w:rPr>
          <w:rFonts w:asciiTheme="minorHAnsi" w:hAnsiTheme="minorHAnsi"/>
          <w:color w:val="010101"/>
        </w:rPr>
        <w:t>TEI indicators</w:t>
      </w:r>
      <w:r w:rsidRPr="00DD6485">
        <w:rPr>
          <w:rFonts w:asciiTheme="minorHAnsi" w:hAnsiTheme="minorHAnsi"/>
          <w:color w:val="010101"/>
        </w:rPr>
        <w:t>:</w:t>
      </w:r>
    </w:p>
    <w:p w14:paraId="268D39AF" w14:textId="77777777" w:rsidR="009D12C6" w:rsidRPr="00DD6485" w:rsidRDefault="009D12C6" w:rsidP="009D12C6">
      <w:pPr>
        <w:pStyle w:val="TableParagraph"/>
        <w:numPr>
          <w:ilvl w:val="0"/>
          <w:numId w:val="2"/>
        </w:numPr>
        <w:tabs>
          <w:tab w:val="left" w:pos="54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DD6485">
        <w:rPr>
          <w:rFonts w:asciiTheme="minorHAnsi" w:hAnsiTheme="minorHAnsi"/>
        </w:rPr>
        <w:t>Students gain relevant employment and/or engage successfully with further study.</w:t>
      </w:r>
    </w:p>
    <w:p w14:paraId="12EABC34" w14:textId="77777777" w:rsidR="009D12C6" w:rsidRPr="00DD6485" w:rsidRDefault="009D12C6" w:rsidP="009D12C6">
      <w:pPr>
        <w:pStyle w:val="TableParagraph"/>
        <w:numPr>
          <w:ilvl w:val="0"/>
          <w:numId w:val="2"/>
        </w:numPr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DD6485">
        <w:rPr>
          <w:rFonts w:asciiTheme="minorHAnsi" w:hAnsiTheme="minorHAnsi"/>
        </w:rPr>
        <w:t>Students apply new skills and knowledge and contribute positively to their local and wider communities</w:t>
      </w:r>
    </w:p>
    <w:p w14:paraId="5242D142" w14:textId="77777777" w:rsidR="009D12C6" w:rsidRPr="00DD6485" w:rsidRDefault="009D12C6" w:rsidP="009D12C6">
      <w:pPr>
        <w:pStyle w:val="TableParagraph"/>
        <w:numPr>
          <w:ilvl w:val="0"/>
          <w:numId w:val="2"/>
        </w:numPr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DD6485">
        <w:rPr>
          <w:rFonts w:asciiTheme="minorHAnsi" w:hAnsiTheme="minorHAnsi"/>
        </w:rPr>
        <w:t>Students improve their well-being and enhance their abilities and attributes.</w:t>
      </w:r>
    </w:p>
    <w:p w14:paraId="6862BDEC" w14:textId="77777777" w:rsidR="009D12C6" w:rsidRPr="00DD6485" w:rsidRDefault="009D12C6" w:rsidP="009D12C6">
      <w:pPr>
        <w:pStyle w:val="TableParagraph"/>
        <w:numPr>
          <w:ilvl w:val="0"/>
          <w:numId w:val="2"/>
        </w:numPr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DD6485">
        <w:rPr>
          <w:rFonts w:asciiTheme="minorHAnsi" w:hAnsiTheme="minorHAnsi"/>
        </w:rPr>
        <w:t>Communities’ and iwi bodies of knowledge are created, developed, and advanced.</w:t>
      </w:r>
    </w:p>
    <w:p w14:paraId="2F1CE49F" w14:textId="77777777" w:rsidR="009D12C6" w:rsidRPr="00DD6485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</w:p>
    <w:p w14:paraId="027B7218" w14:textId="77777777" w:rsidR="009D12C6" w:rsidRPr="00DD6485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  <w:b/>
        </w:rPr>
      </w:pPr>
      <w:r w:rsidRPr="00DD6485">
        <w:rPr>
          <w:rFonts w:asciiTheme="minorHAnsi" w:hAnsiTheme="minorHAnsi"/>
          <w:b/>
        </w:rPr>
        <w:t>KEQ 3: How well do programme design and delivery, including learning and assessment activities, match the needs of students and other stakeholders?</w:t>
      </w:r>
    </w:p>
    <w:p w14:paraId="54D4BD63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TEI indicators: </w:t>
      </w:r>
    </w:p>
    <w:p w14:paraId="0072616D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proofErr w:type="spellStart"/>
      <w:r w:rsidRPr="00563F54">
        <w:rPr>
          <w:rFonts w:asciiTheme="minorHAnsi" w:hAnsiTheme="minorHAnsi"/>
        </w:rPr>
        <w:t>Programmes</w:t>
      </w:r>
      <w:proofErr w:type="spellEnd"/>
      <w:r w:rsidRPr="00563F54">
        <w:rPr>
          <w:rFonts w:asciiTheme="minorHAnsi" w:hAnsiTheme="minorHAnsi"/>
        </w:rPr>
        <w:t xml:space="preserve"> maintain relevance to stakeholders and communities. </w:t>
      </w:r>
    </w:p>
    <w:p w14:paraId="3F1050A3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proofErr w:type="spellStart"/>
      <w:r w:rsidRPr="00563F54">
        <w:rPr>
          <w:rFonts w:asciiTheme="minorHAnsi" w:hAnsiTheme="minorHAnsi"/>
        </w:rPr>
        <w:t>Programmes</w:t>
      </w:r>
      <w:proofErr w:type="spellEnd"/>
      <w:r w:rsidRPr="00563F54">
        <w:rPr>
          <w:rFonts w:asciiTheme="minorHAnsi" w:hAnsiTheme="minorHAnsi"/>
        </w:rPr>
        <w:t xml:space="preserve"> are regularly reviewed and updated to meet existing and emerging needs of students and stakeholders. </w:t>
      </w:r>
    </w:p>
    <w:p w14:paraId="6FF26656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Learning environments are planned and structured for the benefit and needs of students.</w:t>
      </w:r>
    </w:p>
    <w:p w14:paraId="414CF6D7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Academic standards and integrity are maintained.</w:t>
      </w:r>
    </w:p>
    <w:p w14:paraId="40A66ADA" w14:textId="77777777" w:rsidR="009D12C6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7359D3">
        <w:rPr>
          <w:rFonts w:asciiTheme="minorHAnsi" w:hAnsiTheme="minorHAnsi"/>
        </w:rPr>
        <w:t>Learning activities and resources are effective in engaging students.</w:t>
      </w:r>
    </w:p>
    <w:p w14:paraId="4B5DF161" w14:textId="77777777" w:rsidR="009D12C6" w:rsidRPr="007359D3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7359D3">
        <w:rPr>
          <w:rFonts w:asciiTheme="minorHAnsi" w:hAnsiTheme="minorHAnsi"/>
        </w:rPr>
        <w:t>Key stakeholders, including students, are clearly identified and engagement is appropriate and ongoing.</w:t>
      </w:r>
    </w:p>
    <w:p w14:paraId="6E01FB50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Assessment is fair, valid, consistent and appropriate.</w:t>
      </w:r>
    </w:p>
    <w:p w14:paraId="5D132D8A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Assessment provides students and teachers with useful feedback on progress.</w:t>
      </w:r>
    </w:p>
    <w:p w14:paraId="43C6DC2D" w14:textId="77777777" w:rsidR="009D12C6" w:rsidRPr="003E2A67" w:rsidRDefault="009D12C6" w:rsidP="009D12C6">
      <w:pPr>
        <w:pStyle w:val="TableParagraph"/>
        <w:numPr>
          <w:ilvl w:val="0"/>
          <w:numId w:val="3"/>
        </w:numPr>
        <w:tabs>
          <w:tab w:val="left" w:pos="538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Learning activities and assessment tasks are purposefully aligned with learning outcomes</w:t>
      </w:r>
    </w:p>
    <w:p w14:paraId="3EF98A68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</w:p>
    <w:p w14:paraId="063F8C61" w14:textId="77777777" w:rsidR="009D12C6" w:rsidRPr="00DD6485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  <w:b/>
        </w:rPr>
      </w:pPr>
      <w:r w:rsidRPr="00DD6485">
        <w:rPr>
          <w:rFonts w:asciiTheme="minorHAnsi" w:hAnsiTheme="minorHAnsi"/>
          <w:b/>
        </w:rPr>
        <w:t>KEQ 4: How effectively are students supported and involved in their learning?</w:t>
      </w:r>
    </w:p>
    <w:p w14:paraId="4EF91B7C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  <w:r>
        <w:rPr>
          <w:rFonts w:asciiTheme="minorHAnsi" w:hAnsiTheme="minorHAnsi"/>
        </w:rPr>
        <w:t>TEI indicators:</w:t>
      </w:r>
    </w:p>
    <w:p w14:paraId="45A0515E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Student learning goals are well understood.</w:t>
      </w:r>
    </w:p>
    <w:p w14:paraId="325E5D83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Comprehensive and timely study information and advice is provided to assist students pursue their chosen pathways.</w:t>
      </w:r>
    </w:p>
    <w:p w14:paraId="693646AD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Responses to the well-being needs of students are appropriate.</w:t>
      </w:r>
    </w:p>
    <w:p w14:paraId="62423DC0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The learning environment is inclusive</w:t>
      </w:r>
      <w:r>
        <w:rPr>
          <w:rFonts w:asciiTheme="minorHAnsi" w:hAnsiTheme="minorHAnsi"/>
        </w:rPr>
        <w:t>.</w:t>
      </w:r>
    </w:p>
    <w:p w14:paraId="2247E5F7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 xml:space="preserve">Policies and procedures </w:t>
      </w:r>
      <w:proofErr w:type="spellStart"/>
      <w:r w:rsidRPr="00563F54">
        <w:rPr>
          <w:rFonts w:asciiTheme="minorHAnsi" w:hAnsiTheme="minorHAnsi"/>
        </w:rPr>
        <w:t>minimise</w:t>
      </w:r>
      <w:proofErr w:type="spellEnd"/>
      <w:r w:rsidRPr="00563F54">
        <w:rPr>
          <w:rFonts w:asciiTheme="minorHAnsi" w:hAnsiTheme="minorHAnsi"/>
        </w:rPr>
        <w:t xml:space="preserve"> barriers to learning.</w:t>
      </w:r>
    </w:p>
    <w:p w14:paraId="3B4DE7D5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40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Students have opportunities to apply knowledge and skills in a variety of contexts.</w:t>
      </w:r>
    </w:p>
    <w:p w14:paraId="36C3AB93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40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Students are supported to establish effective social and academic support networks.</w:t>
      </w:r>
    </w:p>
    <w:p w14:paraId="0B99EE0A" w14:textId="77777777" w:rsidR="009D12C6" w:rsidRPr="003E2A67" w:rsidRDefault="009D12C6" w:rsidP="009D12C6">
      <w:pPr>
        <w:pStyle w:val="TableParagraph"/>
        <w:numPr>
          <w:ilvl w:val="0"/>
          <w:numId w:val="4"/>
        </w:numPr>
        <w:tabs>
          <w:tab w:val="left" w:pos="540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Students are provided with useful and timely feedback on their progress</w:t>
      </w:r>
      <w:r>
        <w:rPr>
          <w:rFonts w:asciiTheme="minorHAnsi" w:hAnsiTheme="minorHAnsi"/>
        </w:rPr>
        <w:t>.</w:t>
      </w:r>
    </w:p>
    <w:p w14:paraId="2B4D9BA0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</w:p>
    <w:p w14:paraId="5B58001F" w14:textId="77777777" w:rsidR="009D12C6" w:rsidRPr="002F763A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  <w:b/>
        </w:rPr>
      </w:pPr>
      <w:r w:rsidRPr="002F763A">
        <w:rPr>
          <w:rFonts w:asciiTheme="minorHAnsi" w:hAnsiTheme="minorHAnsi"/>
          <w:b/>
        </w:rPr>
        <w:t>KEQ 5: How effective are governance and management at supporting educational achievement?</w:t>
      </w:r>
    </w:p>
    <w:p w14:paraId="5A098B8A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TEI Indicators: </w:t>
      </w:r>
    </w:p>
    <w:p w14:paraId="3B3B04A6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proofErr w:type="spellStart"/>
      <w:r w:rsidRPr="00563F54">
        <w:rPr>
          <w:rFonts w:asciiTheme="minorHAnsi" w:hAnsiTheme="minorHAnsi"/>
        </w:rPr>
        <w:t>Organisational</w:t>
      </w:r>
      <w:proofErr w:type="spellEnd"/>
      <w:r w:rsidRPr="00563F54">
        <w:rPr>
          <w:rFonts w:asciiTheme="minorHAnsi" w:hAnsiTheme="minorHAnsi"/>
        </w:rPr>
        <w:t xml:space="preserve"> purpose and direction is clear.</w:t>
      </w:r>
    </w:p>
    <w:p w14:paraId="622E3423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proofErr w:type="spellStart"/>
      <w:r w:rsidRPr="00563F54">
        <w:rPr>
          <w:rFonts w:asciiTheme="minorHAnsi" w:hAnsiTheme="minorHAnsi"/>
        </w:rPr>
        <w:t>Organisational</w:t>
      </w:r>
      <w:proofErr w:type="spellEnd"/>
      <w:r w:rsidRPr="00563F54">
        <w:rPr>
          <w:rFonts w:asciiTheme="minorHAnsi" w:hAnsiTheme="minorHAnsi"/>
        </w:rPr>
        <w:t xml:space="preserve"> academic leadership is effective.</w:t>
      </w:r>
    </w:p>
    <w:p w14:paraId="219308C5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Sufficient resources are allocated to support learning, teaching and research.</w:t>
      </w:r>
    </w:p>
    <w:p w14:paraId="20C4302E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Data analysis is used effectively throughout the organization</w:t>
      </w:r>
    </w:p>
    <w:p w14:paraId="21791A8C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Recruitment and development of staff is effective.</w:t>
      </w:r>
    </w:p>
    <w:p w14:paraId="3DFC2B6D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5737"/>
        <w:rPr>
          <w:rFonts w:asciiTheme="minorHAnsi" w:hAnsiTheme="minorHAnsi"/>
        </w:rPr>
      </w:pPr>
      <w:r w:rsidRPr="00563F54">
        <w:rPr>
          <w:rFonts w:asciiTheme="minorHAnsi" w:hAnsiTheme="minorHAnsi"/>
        </w:rPr>
        <w:lastRenderedPageBreak/>
        <w:t>Staff are valued.</w:t>
      </w:r>
    </w:p>
    <w:p w14:paraId="0E1AC1C7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 xml:space="preserve">The education </w:t>
      </w:r>
      <w:proofErr w:type="spellStart"/>
      <w:r w:rsidRPr="00563F54">
        <w:rPr>
          <w:rFonts w:asciiTheme="minorHAnsi" w:hAnsiTheme="minorHAnsi"/>
        </w:rPr>
        <w:t>organisation</w:t>
      </w:r>
      <w:proofErr w:type="spellEnd"/>
      <w:r w:rsidRPr="00563F54">
        <w:rPr>
          <w:rFonts w:asciiTheme="minorHAnsi" w:hAnsiTheme="minorHAnsi"/>
        </w:rPr>
        <w:t xml:space="preserve"> anticipates and responds effectively to change.</w:t>
      </w:r>
    </w:p>
    <w:p w14:paraId="3388A637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Innovation, responsiveness and continuity are balanced.</w:t>
      </w:r>
    </w:p>
    <w:p w14:paraId="1C5D6B4B" w14:textId="77777777" w:rsidR="009D12C6" w:rsidRPr="00563F54" w:rsidRDefault="009D12C6" w:rsidP="009D12C6">
      <w:pPr>
        <w:pStyle w:val="TableParagraph"/>
        <w:numPr>
          <w:ilvl w:val="0"/>
          <w:numId w:val="5"/>
        </w:numPr>
        <w:tabs>
          <w:tab w:val="left" w:pos="536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The TEO operates a sustainable business model, which is aligned to its educational purpose.</w:t>
      </w:r>
    </w:p>
    <w:p w14:paraId="46E9D185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</w:p>
    <w:p w14:paraId="1317BAC7" w14:textId="77777777" w:rsidR="009D12C6" w:rsidRPr="002F763A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  <w:b/>
        </w:rPr>
      </w:pPr>
      <w:r w:rsidRPr="002F763A">
        <w:rPr>
          <w:rFonts w:asciiTheme="minorHAnsi" w:hAnsiTheme="minorHAnsi"/>
          <w:b/>
        </w:rPr>
        <w:t>KEQ 6: How effective are important compliance accountabilities managed?</w:t>
      </w:r>
    </w:p>
    <w:p w14:paraId="10652782" w14:textId="77777777" w:rsidR="009D12C6" w:rsidRDefault="009D12C6" w:rsidP="009D12C6">
      <w:pPr>
        <w:pStyle w:val="TableParagraph"/>
        <w:autoSpaceDE/>
        <w:autoSpaceDN/>
        <w:spacing w:before="10" w:line="244" w:lineRule="auto"/>
        <w:ind w:left="131" w:right="-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TEI Indicator: </w:t>
      </w:r>
    </w:p>
    <w:p w14:paraId="13A95715" w14:textId="77777777" w:rsidR="009D12C6" w:rsidRPr="003E2A67" w:rsidRDefault="009D12C6" w:rsidP="009D12C6">
      <w:pPr>
        <w:pStyle w:val="TableParagraph"/>
        <w:numPr>
          <w:ilvl w:val="0"/>
          <w:numId w:val="6"/>
        </w:numPr>
        <w:tabs>
          <w:tab w:val="left" w:pos="557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 xml:space="preserve">Policies and practices are legal and ethical. </w:t>
      </w:r>
    </w:p>
    <w:p w14:paraId="627E8496" w14:textId="77777777" w:rsidR="009D12C6" w:rsidRPr="003E2A67" w:rsidRDefault="009D12C6" w:rsidP="009D12C6">
      <w:pPr>
        <w:pStyle w:val="TableParagraph"/>
        <w:numPr>
          <w:ilvl w:val="0"/>
          <w:numId w:val="6"/>
        </w:numPr>
        <w:tabs>
          <w:tab w:val="left" w:pos="557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The TEO has effective compliance management processes</w:t>
      </w:r>
      <w:r>
        <w:rPr>
          <w:rFonts w:asciiTheme="minorHAnsi" w:hAnsiTheme="minorHAnsi"/>
        </w:rPr>
        <w:t>.</w:t>
      </w:r>
    </w:p>
    <w:p w14:paraId="2AB16508" w14:textId="77777777" w:rsidR="009D12C6" w:rsidRPr="003E2A67" w:rsidRDefault="009D12C6" w:rsidP="009D12C6">
      <w:pPr>
        <w:pStyle w:val="TableParagraph"/>
        <w:numPr>
          <w:ilvl w:val="0"/>
          <w:numId w:val="6"/>
        </w:numPr>
        <w:tabs>
          <w:tab w:val="left" w:pos="557"/>
        </w:tabs>
        <w:autoSpaceDE/>
        <w:autoSpaceDN/>
        <w:spacing w:before="10" w:line="244" w:lineRule="auto"/>
        <w:ind w:left="851" w:right="-46"/>
        <w:rPr>
          <w:rFonts w:asciiTheme="minorHAnsi" w:hAnsiTheme="minorHAnsi"/>
        </w:rPr>
      </w:pPr>
      <w:r w:rsidRPr="00563F54">
        <w:rPr>
          <w:rFonts w:asciiTheme="minorHAnsi" w:hAnsiTheme="minorHAnsi"/>
        </w:rPr>
        <w:t>Relevant legislation, rules and regulations are complied with.</w:t>
      </w:r>
    </w:p>
    <w:p w14:paraId="727DA504" w14:textId="77777777" w:rsidR="001869C6" w:rsidRDefault="001869C6"/>
    <w:sectPr w:rsidR="001869C6" w:rsidSect="009D12C6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CC8"/>
    <w:multiLevelType w:val="hybridMultilevel"/>
    <w:tmpl w:val="ADCCF754"/>
    <w:lvl w:ilvl="0" w:tplc="1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B227CA7"/>
    <w:multiLevelType w:val="hybridMultilevel"/>
    <w:tmpl w:val="BD421CFC"/>
    <w:lvl w:ilvl="0" w:tplc="1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 w15:restartNumberingAfterBreak="0">
    <w:nsid w:val="302F3CC8"/>
    <w:multiLevelType w:val="hybridMultilevel"/>
    <w:tmpl w:val="E4A66CDC"/>
    <w:lvl w:ilvl="0" w:tplc="1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38780123"/>
    <w:multiLevelType w:val="hybridMultilevel"/>
    <w:tmpl w:val="85C44C66"/>
    <w:lvl w:ilvl="0" w:tplc="1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44AC4E61"/>
    <w:multiLevelType w:val="hybridMultilevel"/>
    <w:tmpl w:val="4476D308"/>
    <w:lvl w:ilvl="0" w:tplc="1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78A77006"/>
    <w:multiLevelType w:val="hybridMultilevel"/>
    <w:tmpl w:val="B33EF1C4"/>
    <w:lvl w:ilvl="0" w:tplc="1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C6"/>
    <w:rsid w:val="001869C6"/>
    <w:rsid w:val="009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E181"/>
  <w15:chartTrackingRefBased/>
  <w15:docId w15:val="{6E2FACE4-DA1A-46DA-9604-3D92772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2C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paragraph" w:customStyle="1" w:styleId="TableParagraph">
    <w:name w:val="Table Paragraph"/>
    <w:basedOn w:val="Normal"/>
    <w:uiPriority w:val="1"/>
    <w:qFormat/>
    <w:rsid w:val="009D12C6"/>
    <w:pPr>
      <w:widowControl w:val="0"/>
      <w:autoSpaceDE w:val="0"/>
      <w:autoSpaceDN w:val="0"/>
      <w:spacing w:after="0" w:line="240" w:lineRule="auto"/>
      <w:ind w:left="206"/>
    </w:pPr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12C6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12C6"/>
    <w:rPr>
      <w:rFonts w:ascii="Calibri" w:eastAsia="Calibri" w:hAnsi="Calibri" w:cs="Calibri"/>
      <w:color w:val="auto"/>
      <w:sz w:val="22"/>
      <w:szCs w:val="22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>Unitec Institute of Technology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Rosemary Dewerse</cp:lastModifiedBy>
  <cp:revision>1</cp:revision>
  <dcterms:created xsi:type="dcterms:W3CDTF">2018-12-16T19:33:00Z</dcterms:created>
  <dcterms:modified xsi:type="dcterms:W3CDTF">2018-12-16T19:34:00Z</dcterms:modified>
</cp:coreProperties>
</file>