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E4E77" w14:textId="7C48FB93" w:rsidR="002073F1" w:rsidRPr="008B4E10" w:rsidRDefault="002073F1" w:rsidP="002073F1">
      <w:pPr>
        <w:pStyle w:val="Heading1"/>
      </w:pPr>
      <w:bookmarkStart w:id="0" w:name="_Toc531781542"/>
      <w:bookmarkStart w:id="1" w:name="_Toc531894495"/>
      <w:bookmarkStart w:id="2" w:name="_GoBack"/>
      <w:bookmarkEnd w:id="2"/>
      <w:r w:rsidRPr="008B4E10">
        <w:t>Setting SMART goals</w:t>
      </w:r>
      <w:bookmarkEnd w:id="0"/>
      <w:bookmarkEnd w:id="1"/>
      <w:r w:rsidRPr="008B4E10">
        <w:t xml:space="preserve"> </w:t>
      </w:r>
    </w:p>
    <w:p w14:paraId="76028F40" w14:textId="0595D364" w:rsidR="00F24DF8" w:rsidRDefault="002073F1" w:rsidP="002073F1">
      <w:pPr>
        <w:pStyle w:val="BodyText"/>
      </w:pPr>
      <w:r>
        <w:t xml:space="preserve">The reason for setting SMART goals is to have a few concrete actions the programme team can be working upon for the next semester’s delivery to make it an even more valuable learning experience for everyone. </w:t>
      </w:r>
    </w:p>
    <w:p w14:paraId="08106460" w14:textId="77777777" w:rsidR="00F24DF8" w:rsidRDefault="00F24DF8" w:rsidP="002073F1">
      <w:pPr>
        <w:pStyle w:val="BodyText"/>
      </w:pPr>
    </w:p>
    <w:p w14:paraId="050FE30D" w14:textId="049C91E6" w:rsidR="00F24DF8" w:rsidRDefault="002073F1" w:rsidP="002073F1">
      <w:pPr>
        <w:pStyle w:val="BodyText"/>
      </w:pPr>
      <w:r>
        <w:t xml:space="preserve">In a PEP you are asked to review the last PEP’s </w:t>
      </w:r>
      <w:r w:rsidR="00F24DF8">
        <w:t>SMART goals. If any goals have not yet been m</w:t>
      </w:r>
      <w:r w:rsidR="006B4578">
        <w:t>et, did you need to extend the p</w:t>
      </w:r>
      <w:r w:rsidR="00F24DF8">
        <w:t>eriod for achievement or was the timeframe not met. If not, why not and what can you do differently to achieve the goal? Revise the wording, making sure to document the change, and set new timeframes.</w:t>
      </w:r>
      <w:r>
        <w:t xml:space="preserve"> </w:t>
      </w:r>
    </w:p>
    <w:p w14:paraId="2CADC41D" w14:textId="77777777" w:rsidR="00F24DF8" w:rsidRDefault="00F24DF8" w:rsidP="002073F1">
      <w:pPr>
        <w:pStyle w:val="BodyText"/>
      </w:pPr>
    </w:p>
    <w:p w14:paraId="7B8507B0" w14:textId="1850BDE5" w:rsidR="002073F1" w:rsidRDefault="00F24DF8" w:rsidP="002073F1">
      <w:pPr>
        <w:pStyle w:val="BodyText"/>
      </w:pPr>
      <w:r>
        <w:t>Then set new goals</w:t>
      </w:r>
      <w:r w:rsidR="002073F1">
        <w:t xml:space="preserve"> going forward. </w:t>
      </w:r>
    </w:p>
    <w:p w14:paraId="3984F0AF" w14:textId="58E418B7" w:rsidR="002073F1" w:rsidRDefault="002073F1" w:rsidP="002073F1">
      <w:pPr>
        <w:pStyle w:val="BodyText"/>
      </w:pPr>
    </w:p>
    <w:p w14:paraId="3C124C41" w14:textId="175D71F6" w:rsidR="002073F1" w:rsidRDefault="002073F1" w:rsidP="002073F1">
      <w:pPr>
        <w:pStyle w:val="BodyText"/>
      </w:pPr>
      <w:r>
        <w:t>The SMART goals you set should directly correlate with the “specific actions” you find yourself identifying under each KEQ. Overall, which 3-5 of those specific actions, if turned into a SMART goal would make a difference to the programme going forward?</w:t>
      </w:r>
      <w:r w:rsidR="00F24DF8">
        <w:t xml:space="preserve"> (You do not, if you have more than 3-5 actions, need to set SMART goals for them all; focus on which would make have best impact.)</w:t>
      </w:r>
    </w:p>
    <w:p w14:paraId="25043BEC" w14:textId="77777777" w:rsidR="002073F1" w:rsidRPr="00133A55" w:rsidRDefault="002073F1" w:rsidP="002073F1">
      <w:pPr>
        <w:pStyle w:val="BodyText"/>
      </w:pPr>
    </w:p>
    <w:p w14:paraId="2E7B8C33" w14:textId="77777777" w:rsidR="002073F1" w:rsidRPr="00133A55" w:rsidRDefault="002073F1" w:rsidP="002073F1">
      <w:pPr>
        <w:pStyle w:val="NormalWeb"/>
        <w:ind w:left="720"/>
        <w:rPr>
          <w:rFonts w:cstheme="minorHAnsi"/>
          <w:lang w:val="en"/>
        </w:rPr>
      </w:pPr>
      <w:r w:rsidRPr="00133A55">
        <w:rPr>
          <w:rStyle w:val="Strong"/>
          <w:rFonts w:cstheme="minorHAnsi"/>
          <w:lang w:val="en"/>
        </w:rPr>
        <w:t>S</w:t>
      </w:r>
      <w:r>
        <w:rPr>
          <w:rFonts w:cstheme="minorHAnsi"/>
          <w:lang w:val="en"/>
        </w:rPr>
        <w:t xml:space="preserve"> - specific</w:t>
      </w:r>
    </w:p>
    <w:p w14:paraId="54BE5499" w14:textId="77777777" w:rsidR="002073F1" w:rsidRPr="00133A55" w:rsidRDefault="002073F1" w:rsidP="002073F1">
      <w:pPr>
        <w:pStyle w:val="NormalWeb"/>
        <w:ind w:left="720"/>
        <w:rPr>
          <w:rFonts w:cstheme="minorHAnsi"/>
          <w:lang w:val="en"/>
        </w:rPr>
      </w:pPr>
      <w:r w:rsidRPr="00133A55">
        <w:rPr>
          <w:rStyle w:val="Strong"/>
          <w:rFonts w:cstheme="minorHAnsi"/>
          <w:lang w:val="en"/>
        </w:rPr>
        <w:t>M</w:t>
      </w:r>
      <w:r w:rsidRPr="00133A55">
        <w:rPr>
          <w:rFonts w:cstheme="minorHAnsi"/>
          <w:lang w:val="en"/>
        </w:rPr>
        <w:t xml:space="preserve"> - measurable</w:t>
      </w:r>
    </w:p>
    <w:p w14:paraId="24C043C8" w14:textId="77777777" w:rsidR="002073F1" w:rsidRPr="00133A55" w:rsidRDefault="002073F1" w:rsidP="002073F1">
      <w:pPr>
        <w:pStyle w:val="NormalWeb"/>
        <w:ind w:left="720"/>
        <w:rPr>
          <w:rFonts w:cstheme="minorHAnsi"/>
          <w:lang w:val="en"/>
        </w:rPr>
      </w:pPr>
      <w:r w:rsidRPr="00133A55">
        <w:rPr>
          <w:rStyle w:val="Strong"/>
          <w:rFonts w:cstheme="minorHAnsi"/>
          <w:lang w:val="en"/>
        </w:rPr>
        <w:t>A</w:t>
      </w:r>
      <w:r w:rsidRPr="00133A55">
        <w:rPr>
          <w:rFonts w:cstheme="minorHAnsi"/>
          <w:lang w:val="en"/>
        </w:rPr>
        <w:t xml:space="preserve"> - agreed upon</w:t>
      </w:r>
      <w:r>
        <w:rPr>
          <w:rFonts w:cstheme="minorHAnsi"/>
          <w:lang w:val="en"/>
        </w:rPr>
        <w:t xml:space="preserve"> and achievable</w:t>
      </w:r>
    </w:p>
    <w:p w14:paraId="7EF50D18" w14:textId="77777777" w:rsidR="002073F1" w:rsidRPr="00133A55" w:rsidRDefault="002073F1" w:rsidP="002073F1">
      <w:pPr>
        <w:pStyle w:val="NormalWeb"/>
        <w:ind w:left="720"/>
        <w:rPr>
          <w:rFonts w:cstheme="minorHAnsi"/>
          <w:lang w:val="en"/>
        </w:rPr>
      </w:pPr>
      <w:r w:rsidRPr="00133A55">
        <w:rPr>
          <w:rStyle w:val="Strong"/>
          <w:rFonts w:cstheme="minorHAnsi"/>
          <w:lang w:val="en"/>
        </w:rPr>
        <w:t>R</w:t>
      </w:r>
      <w:r>
        <w:rPr>
          <w:rFonts w:cstheme="minorHAnsi"/>
          <w:lang w:val="en"/>
        </w:rPr>
        <w:t xml:space="preserve"> – realistic and relevant</w:t>
      </w:r>
    </w:p>
    <w:p w14:paraId="1A044FD3" w14:textId="77777777" w:rsidR="002073F1" w:rsidRDefault="002073F1" w:rsidP="002073F1">
      <w:pPr>
        <w:pStyle w:val="NormalWeb"/>
        <w:ind w:left="720"/>
        <w:rPr>
          <w:rFonts w:cstheme="minorHAnsi"/>
          <w:lang w:val="en"/>
        </w:rPr>
      </w:pPr>
      <w:r w:rsidRPr="00133A55">
        <w:rPr>
          <w:rStyle w:val="Strong"/>
          <w:rFonts w:cstheme="minorHAnsi"/>
          <w:lang w:val="en"/>
        </w:rPr>
        <w:t>T</w:t>
      </w:r>
      <w:r w:rsidRPr="00133A55">
        <w:rPr>
          <w:rFonts w:cstheme="minorHAnsi"/>
          <w:lang w:val="en"/>
        </w:rPr>
        <w:t xml:space="preserve"> - time-bound, timely, trackable</w:t>
      </w:r>
    </w:p>
    <w:p w14:paraId="3277201A" w14:textId="77777777" w:rsidR="002073F1" w:rsidRPr="00133A55" w:rsidRDefault="002073F1" w:rsidP="002073F1">
      <w:pPr>
        <w:pStyle w:val="NormalWeb"/>
        <w:ind w:left="720"/>
        <w:rPr>
          <w:rFonts w:cstheme="minorHAnsi"/>
          <w:lang w:val="en"/>
        </w:rPr>
      </w:pPr>
    </w:p>
    <w:p w14:paraId="1F17661B" w14:textId="77777777" w:rsidR="002073F1" w:rsidRDefault="002073F1" w:rsidP="002073F1">
      <w:pPr>
        <w:pStyle w:val="BodyText"/>
      </w:pPr>
      <w:r>
        <w:t>Some examples of effective SMART goals from the Interim 2018 PEPs include:</w:t>
      </w:r>
    </w:p>
    <w:p w14:paraId="5FB4D96C" w14:textId="77777777" w:rsidR="002073F1" w:rsidRDefault="002073F1" w:rsidP="002073F1">
      <w:pPr>
        <w:pStyle w:val="BodyText"/>
      </w:pPr>
    </w:p>
    <w:tbl>
      <w:tblPr>
        <w:tblStyle w:val="TableGrid"/>
        <w:tblW w:w="9340" w:type="dxa"/>
        <w:tblLook w:val="04A0" w:firstRow="1" w:lastRow="0" w:firstColumn="1" w:lastColumn="0" w:noHBand="0" w:noVBand="1"/>
      </w:tblPr>
      <w:tblGrid>
        <w:gridCol w:w="1005"/>
        <w:gridCol w:w="2057"/>
        <w:gridCol w:w="944"/>
        <w:gridCol w:w="1188"/>
        <w:gridCol w:w="2602"/>
        <w:gridCol w:w="1544"/>
      </w:tblGrid>
      <w:tr w:rsidR="002073F1" w:rsidRPr="00F975CC" w14:paraId="5489F8F0" w14:textId="77777777" w:rsidTr="00800F9D">
        <w:trPr>
          <w:trHeight w:val="437"/>
        </w:trPr>
        <w:tc>
          <w:tcPr>
            <w:tcW w:w="1014" w:type="dxa"/>
            <w:shd w:val="clear" w:color="auto" w:fill="D9D9D9" w:themeFill="background1" w:themeFillShade="D9"/>
          </w:tcPr>
          <w:p w14:paraId="3805E63E" w14:textId="77777777" w:rsidR="002073F1" w:rsidRPr="00F975CC" w:rsidRDefault="002073F1" w:rsidP="00800F9D">
            <w:pPr>
              <w:pStyle w:val="BodyText"/>
              <w:rPr>
                <w:b/>
                <w:sz w:val="18"/>
                <w:szCs w:val="18"/>
              </w:rPr>
            </w:pPr>
            <w:proofErr w:type="spellStart"/>
            <w:r w:rsidRPr="00F975CC">
              <w:rPr>
                <w:b/>
                <w:sz w:val="18"/>
                <w:szCs w:val="18"/>
              </w:rPr>
              <w:t>Yr</w:t>
            </w:r>
            <w:proofErr w:type="spellEnd"/>
            <w:r w:rsidRPr="00F975CC">
              <w:rPr>
                <w:b/>
                <w:sz w:val="18"/>
                <w:szCs w:val="18"/>
              </w:rPr>
              <w:t>/No</w:t>
            </w:r>
          </w:p>
        </w:tc>
        <w:tc>
          <w:tcPr>
            <w:tcW w:w="2075" w:type="dxa"/>
            <w:shd w:val="clear" w:color="auto" w:fill="D9D9D9" w:themeFill="background1" w:themeFillShade="D9"/>
          </w:tcPr>
          <w:p w14:paraId="555EA27A" w14:textId="77777777" w:rsidR="002073F1" w:rsidRPr="00F975CC" w:rsidRDefault="002073F1" w:rsidP="00800F9D">
            <w:pPr>
              <w:pStyle w:val="BodyText"/>
              <w:rPr>
                <w:b/>
                <w:sz w:val="18"/>
                <w:szCs w:val="18"/>
              </w:rPr>
            </w:pPr>
            <w:r w:rsidRPr="00F975CC">
              <w:rPr>
                <w:b/>
                <w:sz w:val="18"/>
                <w:szCs w:val="18"/>
              </w:rPr>
              <w:t>Action</w:t>
            </w:r>
          </w:p>
        </w:tc>
        <w:tc>
          <w:tcPr>
            <w:tcW w:w="871" w:type="dxa"/>
            <w:shd w:val="clear" w:color="auto" w:fill="D9D9D9" w:themeFill="background1" w:themeFillShade="D9"/>
          </w:tcPr>
          <w:p w14:paraId="2A8C06E0" w14:textId="77777777" w:rsidR="002073F1" w:rsidRPr="00F975CC" w:rsidRDefault="002073F1" w:rsidP="00800F9D">
            <w:pPr>
              <w:pStyle w:val="BodyText"/>
              <w:rPr>
                <w:b/>
                <w:sz w:val="18"/>
                <w:szCs w:val="18"/>
              </w:rPr>
            </w:pPr>
            <w:r w:rsidRPr="00F975CC">
              <w:rPr>
                <w:b/>
                <w:sz w:val="18"/>
                <w:szCs w:val="18"/>
              </w:rPr>
              <w:t>Who</w:t>
            </w:r>
          </w:p>
        </w:tc>
        <w:tc>
          <w:tcPr>
            <w:tcW w:w="1194" w:type="dxa"/>
            <w:shd w:val="clear" w:color="auto" w:fill="D9D9D9" w:themeFill="background1" w:themeFillShade="D9"/>
          </w:tcPr>
          <w:p w14:paraId="58F09012" w14:textId="77777777" w:rsidR="002073F1" w:rsidRPr="00F975CC" w:rsidRDefault="002073F1" w:rsidP="00800F9D">
            <w:pPr>
              <w:pStyle w:val="BodyText"/>
              <w:rPr>
                <w:b/>
                <w:sz w:val="18"/>
                <w:szCs w:val="18"/>
              </w:rPr>
            </w:pPr>
            <w:r w:rsidRPr="00F975CC">
              <w:rPr>
                <w:b/>
                <w:sz w:val="18"/>
                <w:szCs w:val="18"/>
              </w:rPr>
              <w:t>By when</w:t>
            </w:r>
          </w:p>
        </w:tc>
        <w:tc>
          <w:tcPr>
            <w:tcW w:w="2636" w:type="dxa"/>
            <w:shd w:val="clear" w:color="auto" w:fill="D9D9D9" w:themeFill="background1" w:themeFillShade="D9"/>
          </w:tcPr>
          <w:p w14:paraId="1FD3F46F" w14:textId="77777777" w:rsidR="002073F1" w:rsidRPr="00F975CC" w:rsidRDefault="002073F1" w:rsidP="00800F9D">
            <w:pPr>
              <w:pStyle w:val="BodyText"/>
              <w:rPr>
                <w:b/>
                <w:sz w:val="20"/>
                <w:szCs w:val="20"/>
              </w:rPr>
            </w:pPr>
            <w:r w:rsidRPr="00F975CC">
              <w:rPr>
                <w:b/>
                <w:sz w:val="20"/>
                <w:szCs w:val="20"/>
              </w:rPr>
              <w:t>Considered successful when (intended outcome)</w:t>
            </w:r>
          </w:p>
        </w:tc>
        <w:tc>
          <w:tcPr>
            <w:tcW w:w="1550" w:type="dxa"/>
            <w:shd w:val="clear" w:color="auto" w:fill="D9D9D9" w:themeFill="background1" w:themeFillShade="D9"/>
          </w:tcPr>
          <w:p w14:paraId="2154FD66" w14:textId="77777777" w:rsidR="002073F1" w:rsidRPr="00F975CC" w:rsidRDefault="002073F1" w:rsidP="00800F9D">
            <w:pPr>
              <w:pStyle w:val="BodyText"/>
              <w:rPr>
                <w:b/>
                <w:sz w:val="20"/>
                <w:szCs w:val="20"/>
              </w:rPr>
            </w:pPr>
            <w:r w:rsidRPr="00F975CC">
              <w:rPr>
                <w:b/>
                <w:sz w:val="20"/>
                <w:szCs w:val="20"/>
              </w:rPr>
              <w:t>Achievement to date</w:t>
            </w:r>
          </w:p>
        </w:tc>
      </w:tr>
      <w:tr w:rsidR="002073F1" w:rsidRPr="00807244" w14:paraId="12DA545E" w14:textId="77777777" w:rsidTr="00800F9D">
        <w:trPr>
          <w:trHeight w:val="1106"/>
        </w:trPr>
        <w:tc>
          <w:tcPr>
            <w:tcW w:w="1014" w:type="dxa"/>
          </w:tcPr>
          <w:p w14:paraId="4C1FE295" w14:textId="77777777" w:rsidR="002073F1" w:rsidRPr="00F975CC" w:rsidRDefault="002073F1" w:rsidP="00800F9D">
            <w:pPr>
              <w:pStyle w:val="BodyText"/>
              <w:rPr>
                <w:sz w:val="20"/>
                <w:szCs w:val="20"/>
              </w:rPr>
            </w:pPr>
            <w:r w:rsidRPr="00F975CC">
              <w:rPr>
                <w:sz w:val="20"/>
                <w:szCs w:val="20"/>
              </w:rPr>
              <w:t>2017-5</w:t>
            </w:r>
          </w:p>
        </w:tc>
        <w:tc>
          <w:tcPr>
            <w:tcW w:w="2075" w:type="dxa"/>
          </w:tcPr>
          <w:p w14:paraId="7E444E55" w14:textId="77777777" w:rsidR="002073F1" w:rsidRPr="00F975CC" w:rsidRDefault="002073F1" w:rsidP="00800F9D">
            <w:pPr>
              <w:pStyle w:val="BodyText"/>
              <w:rPr>
                <w:sz w:val="20"/>
                <w:szCs w:val="20"/>
              </w:rPr>
            </w:pPr>
            <w:r w:rsidRPr="00F975CC">
              <w:rPr>
                <w:sz w:val="20"/>
                <w:szCs w:val="20"/>
              </w:rPr>
              <w:t>Hold cultural competence workshops for all staff to improve capability in supporting the learning of M</w:t>
            </w:r>
            <w:r w:rsidRPr="00F975CC">
              <w:rPr>
                <w:rFonts w:cstheme="minorHAnsi"/>
                <w:sz w:val="20"/>
                <w:szCs w:val="20"/>
              </w:rPr>
              <w:t>ā</w:t>
            </w:r>
            <w:r w:rsidRPr="00F975CC">
              <w:rPr>
                <w:sz w:val="20"/>
                <w:szCs w:val="20"/>
              </w:rPr>
              <w:t>ori and Pacific students</w:t>
            </w:r>
          </w:p>
        </w:tc>
        <w:tc>
          <w:tcPr>
            <w:tcW w:w="871" w:type="dxa"/>
          </w:tcPr>
          <w:p w14:paraId="1D7E1BC6" w14:textId="77777777" w:rsidR="002073F1" w:rsidRPr="00F975CC" w:rsidRDefault="002073F1" w:rsidP="00800F9D">
            <w:pPr>
              <w:pStyle w:val="BodyText"/>
              <w:rPr>
                <w:sz w:val="20"/>
                <w:szCs w:val="20"/>
              </w:rPr>
            </w:pPr>
            <w:r w:rsidRPr="00F975CC">
              <w:rPr>
                <w:sz w:val="20"/>
                <w:szCs w:val="20"/>
              </w:rPr>
              <w:t>AL/</w:t>
            </w:r>
          </w:p>
          <w:p w14:paraId="09FC4F61" w14:textId="77777777" w:rsidR="002073F1" w:rsidRPr="00F975CC" w:rsidRDefault="002073F1" w:rsidP="00800F9D">
            <w:pPr>
              <w:pStyle w:val="BodyText"/>
              <w:rPr>
                <w:sz w:val="20"/>
                <w:szCs w:val="20"/>
              </w:rPr>
            </w:pPr>
            <w:proofErr w:type="spellStart"/>
            <w:r w:rsidRPr="00F975CC">
              <w:rPr>
                <w:sz w:val="20"/>
                <w:szCs w:val="20"/>
              </w:rPr>
              <w:t>Kaihautu</w:t>
            </w:r>
            <w:proofErr w:type="spellEnd"/>
          </w:p>
        </w:tc>
        <w:tc>
          <w:tcPr>
            <w:tcW w:w="1194" w:type="dxa"/>
          </w:tcPr>
          <w:p w14:paraId="2F7DE48D" w14:textId="77777777" w:rsidR="002073F1" w:rsidRPr="00F975CC" w:rsidRDefault="002073F1" w:rsidP="00800F9D">
            <w:pPr>
              <w:pStyle w:val="BodyText"/>
              <w:rPr>
                <w:sz w:val="20"/>
                <w:szCs w:val="20"/>
              </w:rPr>
            </w:pPr>
            <w:r w:rsidRPr="00F975CC">
              <w:rPr>
                <w:sz w:val="20"/>
                <w:szCs w:val="20"/>
              </w:rPr>
              <w:t>2018</w:t>
            </w:r>
          </w:p>
        </w:tc>
        <w:tc>
          <w:tcPr>
            <w:tcW w:w="2636" w:type="dxa"/>
          </w:tcPr>
          <w:p w14:paraId="0BB5C46D" w14:textId="77777777" w:rsidR="002073F1" w:rsidRPr="00F975CC" w:rsidRDefault="002073F1" w:rsidP="00800F9D">
            <w:pPr>
              <w:pStyle w:val="BodyText"/>
              <w:rPr>
                <w:sz w:val="20"/>
                <w:szCs w:val="20"/>
              </w:rPr>
            </w:pPr>
            <w:r w:rsidRPr="00F975CC">
              <w:rPr>
                <w:sz w:val="20"/>
                <w:szCs w:val="20"/>
              </w:rPr>
              <w:t>Student course evaluation ratings for ‘student felt course valued M</w:t>
            </w:r>
            <w:r w:rsidRPr="00F975CC">
              <w:rPr>
                <w:rFonts w:cstheme="minorHAnsi"/>
                <w:sz w:val="20"/>
                <w:szCs w:val="20"/>
              </w:rPr>
              <w:t>ā</w:t>
            </w:r>
            <w:r w:rsidRPr="00F975CC">
              <w:rPr>
                <w:sz w:val="20"/>
                <w:szCs w:val="20"/>
              </w:rPr>
              <w:t xml:space="preserve">ori beliefs, language, practices’ improve. </w:t>
            </w:r>
          </w:p>
          <w:p w14:paraId="573D3CD9" w14:textId="77777777" w:rsidR="002073F1" w:rsidRPr="00F975CC" w:rsidRDefault="002073F1" w:rsidP="00800F9D">
            <w:pPr>
              <w:pStyle w:val="BodyText"/>
              <w:rPr>
                <w:sz w:val="20"/>
                <w:szCs w:val="20"/>
              </w:rPr>
            </w:pPr>
          </w:p>
          <w:p w14:paraId="635433F6" w14:textId="77777777" w:rsidR="002073F1" w:rsidRPr="00F975CC" w:rsidRDefault="002073F1" w:rsidP="00800F9D">
            <w:pPr>
              <w:pStyle w:val="BodyText"/>
              <w:rPr>
                <w:sz w:val="20"/>
                <w:szCs w:val="20"/>
              </w:rPr>
            </w:pPr>
            <w:r w:rsidRPr="00F975CC">
              <w:rPr>
                <w:sz w:val="20"/>
                <w:szCs w:val="20"/>
              </w:rPr>
              <w:t xml:space="preserve">The number of </w:t>
            </w:r>
            <w:r w:rsidRPr="00F975CC">
              <w:rPr>
                <w:rFonts w:cstheme="minorHAnsi"/>
                <w:sz w:val="20"/>
                <w:szCs w:val="20"/>
              </w:rPr>
              <w:t xml:space="preserve">Māori and Pacific </w:t>
            </w:r>
            <w:proofErr w:type="gramStart"/>
            <w:r w:rsidRPr="00F975CC">
              <w:rPr>
                <w:rFonts w:cstheme="minorHAnsi"/>
                <w:sz w:val="20"/>
                <w:szCs w:val="20"/>
              </w:rPr>
              <w:t>students</w:t>
            </w:r>
            <w:proofErr w:type="gramEnd"/>
            <w:r w:rsidRPr="00F975CC">
              <w:rPr>
                <w:rFonts w:cstheme="minorHAnsi"/>
                <w:sz w:val="20"/>
                <w:szCs w:val="20"/>
              </w:rPr>
              <w:t xml:space="preserve"> increases. </w:t>
            </w:r>
          </w:p>
        </w:tc>
        <w:tc>
          <w:tcPr>
            <w:tcW w:w="1550" w:type="dxa"/>
          </w:tcPr>
          <w:p w14:paraId="305A4A1F" w14:textId="77777777" w:rsidR="002073F1" w:rsidRPr="00F975CC" w:rsidRDefault="002073F1" w:rsidP="00800F9D">
            <w:pPr>
              <w:pStyle w:val="BodyText"/>
              <w:rPr>
                <w:sz w:val="20"/>
                <w:szCs w:val="20"/>
              </w:rPr>
            </w:pPr>
            <w:r w:rsidRPr="00F975CC">
              <w:rPr>
                <w:sz w:val="20"/>
                <w:szCs w:val="20"/>
              </w:rPr>
              <w:t xml:space="preserve">Commenced </w:t>
            </w:r>
            <w:proofErr w:type="spellStart"/>
            <w:r w:rsidRPr="00F975CC">
              <w:rPr>
                <w:sz w:val="20"/>
                <w:szCs w:val="20"/>
              </w:rPr>
              <w:t>Sem</w:t>
            </w:r>
            <w:proofErr w:type="spellEnd"/>
            <w:r w:rsidRPr="00F975CC">
              <w:rPr>
                <w:sz w:val="20"/>
                <w:szCs w:val="20"/>
              </w:rPr>
              <w:t xml:space="preserve"> 1 2018: 2.5 hours per week with staff development workshops</w:t>
            </w:r>
          </w:p>
        </w:tc>
      </w:tr>
      <w:tr w:rsidR="002073F1" w:rsidRPr="00807244" w14:paraId="2868559D" w14:textId="77777777" w:rsidTr="00800F9D">
        <w:trPr>
          <w:trHeight w:val="205"/>
        </w:trPr>
        <w:tc>
          <w:tcPr>
            <w:tcW w:w="1014" w:type="dxa"/>
          </w:tcPr>
          <w:p w14:paraId="5CE34A1A" w14:textId="77777777" w:rsidR="002073F1" w:rsidRPr="00F975CC" w:rsidRDefault="002073F1" w:rsidP="00800F9D">
            <w:pPr>
              <w:pStyle w:val="BodyText"/>
              <w:rPr>
                <w:sz w:val="20"/>
                <w:szCs w:val="20"/>
              </w:rPr>
            </w:pPr>
            <w:r w:rsidRPr="00F975CC">
              <w:rPr>
                <w:sz w:val="20"/>
                <w:szCs w:val="20"/>
              </w:rPr>
              <w:t>2018-2</w:t>
            </w:r>
          </w:p>
        </w:tc>
        <w:tc>
          <w:tcPr>
            <w:tcW w:w="2075" w:type="dxa"/>
          </w:tcPr>
          <w:p w14:paraId="169EAAE1" w14:textId="77777777" w:rsidR="002073F1" w:rsidRPr="00F975CC" w:rsidRDefault="002073F1" w:rsidP="00800F9D">
            <w:pPr>
              <w:pStyle w:val="BodyText"/>
              <w:rPr>
                <w:sz w:val="20"/>
                <w:szCs w:val="20"/>
              </w:rPr>
            </w:pPr>
            <w:r w:rsidRPr="00F975CC">
              <w:rPr>
                <w:sz w:val="20"/>
                <w:szCs w:val="20"/>
              </w:rPr>
              <w:t>Request support and advice to ensure literacy test uptake reaches TEC requirements, and add the numeracy test to the programme.</w:t>
            </w:r>
          </w:p>
        </w:tc>
        <w:tc>
          <w:tcPr>
            <w:tcW w:w="871" w:type="dxa"/>
          </w:tcPr>
          <w:p w14:paraId="600E2EA3" w14:textId="77777777" w:rsidR="002073F1" w:rsidRPr="00F975CC" w:rsidRDefault="002073F1" w:rsidP="00800F9D">
            <w:pPr>
              <w:pStyle w:val="BodyText"/>
              <w:rPr>
                <w:sz w:val="20"/>
                <w:szCs w:val="20"/>
              </w:rPr>
            </w:pPr>
            <w:r w:rsidRPr="00F975CC">
              <w:rPr>
                <w:sz w:val="20"/>
                <w:szCs w:val="20"/>
              </w:rPr>
              <w:t>AL</w:t>
            </w:r>
          </w:p>
        </w:tc>
        <w:tc>
          <w:tcPr>
            <w:tcW w:w="1194" w:type="dxa"/>
          </w:tcPr>
          <w:p w14:paraId="1B200633" w14:textId="77777777" w:rsidR="002073F1" w:rsidRPr="00F975CC" w:rsidRDefault="002073F1" w:rsidP="00800F9D">
            <w:pPr>
              <w:pStyle w:val="BodyText"/>
              <w:rPr>
                <w:sz w:val="20"/>
                <w:szCs w:val="20"/>
              </w:rPr>
            </w:pPr>
            <w:r w:rsidRPr="00F975CC">
              <w:rPr>
                <w:sz w:val="20"/>
                <w:szCs w:val="20"/>
              </w:rPr>
              <w:t>Semester 2 2018</w:t>
            </w:r>
          </w:p>
        </w:tc>
        <w:tc>
          <w:tcPr>
            <w:tcW w:w="2636" w:type="dxa"/>
          </w:tcPr>
          <w:p w14:paraId="369A83FB" w14:textId="77777777" w:rsidR="002073F1" w:rsidRPr="00F975CC" w:rsidRDefault="002073F1" w:rsidP="00800F9D">
            <w:pPr>
              <w:pStyle w:val="BodyText"/>
              <w:rPr>
                <w:sz w:val="20"/>
                <w:szCs w:val="20"/>
              </w:rPr>
            </w:pPr>
            <w:r w:rsidRPr="00F975CC">
              <w:rPr>
                <w:sz w:val="20"/>
                <w:szCs w:val="20"/>
              </w:rPr>
              <w:t>All students are taking the numeracy test and literacy uptake meets TEC requirements</w:t>
            </w:r>
          </w:p>
        </w:tc>
        <w:tc>
          <w:tcPr>
            <w:tcW w:w="1550" w:type="dxa"/>
          </w:tcPr>
          <w:p w14:paraId="60C60986" w14:textId="77777777" w:rsidR="002073F1" w:rsidRPr="00F975CC" w:rsidRDefault="002073F1" w:rsidP="00800F9D">
            <w:pPr>
              <w:pStyle w:val="BodyText"/>
              <w:rPr>
                <w:sz w:val="20"/>
                <w:szCs w:val="20"/>
              </w:rPr>
            </w:pPr>
            <w:r>
              <w:rPr>
                <w:sz w:val="20"/>
                <w:szCs w:val="20"/>
              </w:rPr>
              <w:t xml:space="preserve">Reported to </w:t>
            </w:r>
            <w:proofErr w:type="spellStart"/>
            <w:r>
              <w:rPr>
                <w:sz w:val="20"/>
                <w:szCs w:val="20"/>
              </w:rPr>
              <w:t>HoS</w:t>
            </w:r>
            <w:r w:rsidRPr="00F975CC">
              <w:rPr>
                <w:sz w:val="20"/>
                <w:szCs w:val="20"/>
              </w:rPr>
              <w:t>.</w:t>
            </w:r>
            <w:proofErr w:type="spellEnd"/>
            <w:r w:rsidRPr="00F975CC">
              <w:rPr>
                <w:sz w:val="20"/>
                <w:szCs w:val="20"/>
              </w:rPr>
              <w:t xml:space="preserve"> Conversation held with Bridging Education.</w:t>
            </w:r>
          </w:p>
        </w:tc>
      </w:tr>
      <w:tr w:rsidR="002073F1" w:rsidRPr="00807244" w14:paraId="4AC1AA33" w14:textId="77777777" w:rsidTr="00800F9D">
        <w:trPr>
          <w:trHeight w:val="218"/>
        </w:trPr>
        <w:tc>
          <w:tcPr>
            <w:tcW w:w="1014" w:type="dxa"/>
          </w:tcPr>
          <w:p w14:paraId="45A92C25" w14:textId="77777777" w:rsidR="002073F1" w:rsidRPr="00F975CC" w:rsidRDefault="002073F1" w:rsidP="00800F9D">
            <w:pPr>
              <w:pStyle w:val="BodyText"/>
              <w:rPr>
                <w:sz w:val="20"/>
                <w:szCs w:val="20"/>
              </w:rPr>
            </w:pPr>
            <w:r w:rsidRPr="00F975CC">
              <w:rPr>
                <w:sz w:val="20"/>
                <w:szCs w:val="20"/>
              </w:rPr>
              <w:t>2018-5</w:t>
            </w:r>
          </w:p>
        </w:tc>
        <w:tc>
          <w:tcPr>
            <w:tcW w:w="2075" w:type="dxa"/>
          </w:tcPr>
          <w:p w14:paraId="060F658E" w14:textId="77777777" w:rsidR="002073F1" w:rsidRPr="00F975CC" w:rsidRDefault="002073F1" w:rsidP="00800F9D">
            <w:pPr>
              <w:pStyle w:val="BodyText"/>
              <w:rPr>
                <w:sz w:val="20"/>
                <w:szCs w:val="20"/>
              </w:rPr>
            </w:pPr>
            <w:r w:rsidRPr="00F975CC">
              <w:rPr>
                <w:sz w:val="20"/>
                <w:szCs w:val="20"/>
              </w:rPr>
              <w:t>Feedback from teachers to students on Moodle needs to include suggestions for future improvement</w:t>
            </w:r>
          </w:p>
        </w:tc>
        <w:tc>
          <w:tcPr>
            <w:tcW w:w="871" w:type="dxa"/>
          </w:tcPr>
          <w:p w14:paraId="17B7B176" w14:textId="77777777" w:rsidR="002073F1" w:rsidRPr="00F975CC" w:rsidRDefault="002073F1" w:rsidP="00800F9D">
            <w:pPr>
              <w:pStyle w:val="BodyText"/>
              <w:rPr>
                <w:sz w:val="20"/>
                <w:szCs w:val="20"/>
              </w:rPr>
            </w:pPr>
            <w:r w:rsidRPr="00F975CC">
              <w:rPr>
                <w:sz w:val="20"/>
                <w:szCs w:val="20"/>
              </w:rPr>
              <w:t>Teaching team</w:t>
            </w:r>
          </w:p>
        </w:tc>
        <w:tc>
          <w:tcPr>
            <w:tcW w:w="1194" w:type="dxa"/>
          </w:tcPr>
          <w:p w14:paraId="7D1FAA2B" w14:textId="77777777" w:rsidR="002073F1" w:rsidRPr="00F975CC" w:rsidRDefault="002073F1" w:rsidP="00800F9D">
            <w:pPr>
              <w:pStyle w:val="BodyText"/>
              <w:rPr>
                <w:sz w:val="20"/>
                <w:szCs w:val="20"/>
              </w:rPr>
            </w:pPr>
            <w:r w:rsidRPr="00F975CC">
              <w:rPr>
                <w:sz w:val="20"/>
                <w:szCs w:val="20"/>
              </w:rPr>
              <w:t>Semester 2 2018</w:t>
            </w:r>
          </w:p>
        </w:tc>
        <w:tc>
          <w:tcPr>
            <w:tcW w:w="2636" w:type="dxa"/>
          </w:tcPr>
          <w:p w14:paraId="42D03D90" w14:textId="77777777" w:rsidR="002073F1" w:rsidRPr="00F975CC" w:rsidRDefault="002073F1" w:rsidP="00800F9D">
            <w:pPr>
              <w:pStyle w:val="BodyText"/>
              <w:rPr>
                <w:sz w:val="20"/>
                <w:szCs w:val="20"/>
              </w:rPr>
            </w:pPr>
            <w:r w:rsidRPr="00F975CC">
              <w:rPr>
                <w:sz w:val="20"/>
                <w:szCs w:val="20"/>
              </w:rPr>
              <w:t>No longer being noted as an issue for students in mid- and end-of-course evaluations</w:t>
            </w:r>
          </w:p>
        </w:tc>
        <w:tc>
          <w:tcPr>
            <w:tcW w:w="1550" w:type="dxa"/>
          </w:tcPr>
          <w:p w14:paraId="49D6A696" w14:textId="77777777" w:rsidR="002073F1" w:rsidRPr="00807244" w:rsidRDefault="002073F1" w:rsidP="00800F9D">
            <w:pPr>
              <w:pStyle w:val="BodyText"/>
              <w:rPr>
                <w:sz w:val="18"/>
                <w:szCs w:val="18"/>
              </w:rPr>
            </w:pPr>
          </w:p>
        </w:tc>
      </w:tr>
      <w:tr w:rsidR="002073F1" w:rsidRPr="00807244" w14:paraId="425CD48E" w14:textId="77777777" w:rsidTr="00800F9D">
        <w:trPr>
          <w:trHeight w:val="218"/>
        </w:trPr>
        <w:tc>
          <w:tcPr>
            <w:tcW w:w="1014" w:type="dxa"/>
          </w:tcPr>
          <w:p w14:paraId="02AB3AFA" w14:textId="77777777" w:rsidR="002073F1" w:rsidRPr="00F975CC" w:rsidRDefault="002073F1" w:rsidP="00800F9D">
            <w:pPr>
              <w:pStyle w:val="BodyText"/>
              <w:rPr>
                <w:sz w:val="20"/>
                <w:szCs w:val="20"/>
              </w:rPr>
            </w:pPr>
            <w:r w:rsidRPr="00F975CC">
              <w:rPr>
                <w:sz w:val="20"/>
                <w:szCs w:val="20"/>
              </w:rPr>
              <w:lastRenderedPageBreak/>
              <w:t>2018-6</w:t>
            </w:r>
          </w:p>
        </w:tc>
        <w:tc>
          <w:tcPr>
            <w:tcW w:w="2075" w:type="dxa"/>
          </w:tcPr>
          <w:p w14:paraId="7E023121" w14:textId="77777777" w:rsidR="002073F1" w:rsidRPr="00F975CC" w:rsidRDefault="002073F1" w:rsidP="00800F9D">
            <w:pPr>
              <w:pStyle w:val="BodyText"/>
              <w:rPr>
                <w:sz w:val="20"/>
                <w:szCs w:val="20"/>
              </w:rPr>
            </w:pPr>
            <w:r w:rsidRPr="00F975CC">
              <w:rPr>
                <w:sz w:val="20"/>
                <w:szCs w:val="20"/>
              </w:rPr>
              <w:t>Staff PD and workshops on compliance matters</w:t>
            </w:r>
          </w:p>
        </w:tc>
        <w:tc>
          <w:tcPr>
            <w:tcW w:w="871" w:type="dxa"/>
          </w:tcPr>
          <w:p w14:paraId="3523B48E" w14:textId="77777777" w:rsidR="002073F1" w:rsidRPr="00F975CC" w:rsidRDefault="002073F1" w:rsidP="00800F9D">
            <w:pPr>
              <w:pStyle w:val="BodyText"/>
              <w:rPr>
                <w:sz w:val="20"/>
                <w:szCs w:val="20"/>
              </w:rPr>
            </w:pPr>
            <w:r w:rsidRPr="00F975CC">
              <w:rPr>
                <w:sz w:val="20"/>
                <w:szCs w:val="20"/>
              </w:rPr>
              <w:t>Staff</w:t>
            </w:r>
          </w:p>
        </w:tc>
        <w:tc>
          <w:tcPr>
            <w:tcW w:w="1194" w:type="dxa"/>
          </w:tcPr>
          <w:p w14:paraId="35D275D7" w14:textId="77777777" w:rsidR="002073F1" w:rsidRPr="00F975CC" w:rsidRDefault="002073F1" w:rsidP="00800F9D">
            <w:pPr>
              <w:pStyle w:val="BodyText"/>
              <w:rPr>
                <w:sz w:val="20"/>
                <w:szCs w:val="20"/>
              </w:rPr>
            </w:pPr>
            <w:r w:rsidRPr="00F975CC">
              <w:rPr>
                <w:sz w:val="20"/>
                <w:szCs w:val="20"/>
              </w:rPr>
              <w:t>April 2019</w:t>
            </w:r>
          </w:p>
        </w:tc>
        <w:tc>
          <w:tcPr>
            <w:tcW w:w="2636" w:type="dxa"/>
          </w:tcPr>
          <w:p w14:paraId="65FF932B" w14:textId="3312D54B" w:rsidR="002073F1" w:rsidRPr="00F975CC" w:rsidRDefault="002073F1" w:rsidP="00800F9D">
            <w:pPr>
              <w:pStyle w:val="BodyText"/>
              <w:rPr>
                <w:sz w:val="20"/>
                <w:szCs w:val="20"/>
              </w:rPr>
            </w:pPr>
            <w:r w:rsidRPr="00F975CC">
              <w:rPr>
                <w:sz w:val="20"/>
                <w:szCs w:val="20"/>
              </w:rPr>
              <w:t xml:space="preserve">Staff able to ID and/or locate key </w:t>
            </w:r>
            <w:r>
              <w:rPr>
                <w:sz w:val="20"/>
                <w:szCs w:val="20"/>
              </w:rPr>
              <w:t xml:space="preserve">compliance policies on the Nest, </w:t>
            </w:r>
            <w:proofErr w:type="spellStart"/>
            <w:r>
              <w:rPr>
                <w:sz w:val="20"/>
                <w:szCs w:val="20"/>
              </w:rPr>
              <w:t>eg</w:t>
            </w:r>
            <w:proofErr w:type="spellEnd"/>
            <w:r w:rsidRPr="00F975CC">
              <w:rPr>
                <w:sz w:val="20"/>
                <w:szCs w:val="20"/>
              </w:rPr>
              <w:t xml:space="preserve"> Code of Practice for International Students</w:t>
            </w:r>
            <w:r w:rsidR="008E407F">
              <w:rPr>
                <w:sz w:val="20"/>
                <w:szCs w:val="20"/>
              </w:rPr>
              <w:t xml:space="preserve"> and are evidencing full compliance.</w:t>
            </w:r>
          </w:p>
        </w:tc>
        <w:tc>
          <w:tcPr>
            <w:tcW w:w="1550" w:type="dxa"/>
          </w:tcPr>
          <w:p w14:paraId="18BDBF33" w14:textId="77777777" w:rsidR="002073F1" w:rsidRPr="00807244" w:rsidRDefault="002073F1" w:rsidP="00800F9D">
            <w:pPr>
              <w:pStyle w:val="BodyText"/>
              <w:rPr>
                <w:sz w:val="18"/>
                <w:szCs w:val="18"/>
              </w:rPr>
            </w:pPr>
          </w:p>
        </w:tc>
      </w:tr>
    </w:tbl>
    <w:p w14:paraId="7E531AEE" w14:textId="77777777" w:rsidR="001869C6" w:rsidRDefault="001869C6"/>
    <w:sectPr w:rsidR="001869C6" w:rsidSect="00347095">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F1"/>
    <w:rsid w:val="001869C6"/>
    <w:rsid w:val="002073F1"/>
    <w:rsid w:val="00310CC4"/>
    <w:rsid w:val="00347095"/>
    <w:rsid w:val="006B4578"/>
    <w:rsid w:val="00763FB9"/>
    <w:rsid w:val="007D5CCF"/>
    <w:rsid w:val="008E407F"/>
    <w:rsid w:val="00F24D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5139"/>
  <w15:chartTrackingRefBased/>
  <w15:docId w15:val="{492FCF87-EB10-494F-96EA-B4166C7B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F1"/>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2073F1"/>
    <w:pPr>
      <w:keepNext/>
      <w:keepLines/>
      <w:spacing w:before="24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3F1"/>
    <w:rPr>
      <w:rFonts w:asciiTheme="majorHAnsi" w:eastAsiaTheme="majorEastAsia" w:hAnsiTheme="majorHAnsi" w:cstheme="majorBidi"/>
      <w:b/>
      <w:color w:val="2E74B5" w:themeColor="accent1" w:themeShade="BF"/>
      <w:sz w:val="32"/>
      <w:szCs w:val="32"/>
      <w:u w:val="none"/>
    </w:rPr>
  </w:style>
  <w:style w:type="character" w:styleId="Strong">
    <w:name w:val="Strong"/>
    <w:basedOn w:val="DefaultParagraphFont"/>
    <w:uiPriority w:val="22"/>
    <w:qFormat/>
    <w:rsid w:val="002073F1"/>
    <w:rPr>
      <w:b/>
      <w:bCs/>
    </w:rPr>
  </w:style>
  <w:style w:type="paragraph" w:styleId="NormalWeb">
    <w:name w:val="Normal (Web)"/>
    <w:basedOn w:val="Normal"/>
    <w:uiPriority w:val="99"/>
    <w:semiHidden/>
    <w:unhideWhenUsed/>
    <w:rsid w:val="002073F1"/>
    <w:pPr>
      <w:spacing w:after="150"/>
    </w:pPr>
  </w:style>
  <w:style w:type="table" w:styleId="TableGrid">
    <w:name w:val="Table Grid"/>
    <w:basedOn w:val="TableNormal"/>
    <w:uiPriority w:val="39"/>
    <w:rsid w:val="002073F1"/>
    <w:pPr>
      <w:spacing w:after="0" w:line="240" w:lineRule="auto"/>
    </w:pPr>
    <w:rPr>
      <w:rFonts w:cstheme="minorBidi"/>
      <w:color w:val="auto"/>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73F1"/>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073F1"/>
    <w:rPr>
      <w:rFonts w:ascii="Calibri" w:eastAsia="Calibri" w:hAnsi="Calibri" w:cs="Calibri"/>
      <w:color w:val="auto"/>
      <w:sz w:val="22"/>
      <w:szCs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8</cp:revision>
  <dcterms:created xsi:type="dcterms:W3CDTF">2018-12-16T19:41:00Z</dcterms:created>
  <dcterms:modified xsi:type="dcterms:W3CDTF">2019-01-16T19:16:00Z</dcterms:modified>
</cp:coreProperties>
</file>