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0626E" w14:textId="77777777" w:rsidR="004B4609" w:rsidRPr="00D60732" w:rsidRDefault="004B4609" w:rsidP="004B4609">
      <w:pPr>
        <w:rPr>
          <w:b/>
        </w:rPr>
      </w:pPr>
      <w:bookmarkStart w:id="0" w:name="_GoBack"/>
      <w:bookmarkEnd w:id="0"/>
    </w:p>
    <w:tbl>
      <w:tblPr>
        <w:tblStyle w:val="TableGrid"/>
        <w:tblW w:w="9493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2" w:type="dxa"/>
          <w:left w:w="107" w:type="dxa"/>
          <w:right w:w="332" w:type="dxa"/>
        </w:tblCellMar>
        <w:tblLook w:val="04A0" w:firstRow="1" w:lastRow="0" w:firstColumn="1" w:lastColumn="0" w:noHBand="0" w:noVBand="1"/>
      </w:tblPr>
      <w:tblGrid>
        <w:gridCol w:w="2687"/>
        <w:gridCol w:w="6806"/>
      </w:tblGrid>
      <w:tr w:rsidR="004B4609" w:rsidRPr="00FB2C4E" w14:paraId="49E12CCA" w14:textId="77777777" w:rsidTr="00800F9D">
        <w:trPr>
          <w:trHeight w:val="1769"/>
        </w:trPr>
        <w:tc>
          <w:tcPr>
            <w:tcW w:w="2687" w:type="dxa"/>
          </w:tcPr>
          <w:p w14:paraId="6CFCE17C" w14:textId="77777777" w:rsidR="004B4609" w:rsidRPr="00FB2C4E" w:rsidRDefault="004B4609" w:rsidP="00800F9D">
            <w:pPr>
              <w:pStyle w:val="BodyText"/>
            </w:pPr>
            <w:r w:rsidRPr="00FB2C4E">
              <w:t>Cohort-based first year retention</w:t>
            </w:r>
          </w:p>
        </w:tc>
        <w:tc>
          <w:tcPr>
            <w:tcW w:w="6806" w:type="dxa"/>
          </w:tcPr>
          <w:p w14:paraId="3C6355D9" w14:textId="77777777" w:rsidR="004B4609" w:rsidRPr="00FB2C4E" w:rsidRDefault="004B4609" w:rsidP="00800F9D">
            <w:pPr>
              <w:pStyle w:val="BodyText"/>
            </w:pPr>
            <w:r w:rsidRPr="00FB2C4E">
              <w:t xml:space="preserve">The proportion of students in a cohort who </w:t>
            </w:r>
            <w:proofErr w:type="spellStart"/>
            <w:r w:rsidRPr="00FB2C4E">
              <w:t>enrol</w:t>
            </w:r>
            <w:proofErr w:type="spellEnd"/>
            <w:r w:rsidRPr="00FB2C4E">
              <w:t xml:space="preserve"> in a qualification at the same level in the year after they enter the cohort. First year retention rates are measured for students who are enrolled in a 2 EFTS or above qualification at level 4 and above.</w:t>
            </w:r>
          </w:p>
        </w:tc>
      </w:tr>
      <w:tr w:rsidR="004B4609" w:rsidRPr="00FB2C4E" w14:paraId="77037D21" w14:textId="77777777" w:rsidTr="00800F9D">
        <w:tblPrEx>
          <w:tblCellMar>
            <w:top w:w="0" w:type="dxa"/>
            <w:left w:w="0" w:type="dxa"/>
            <w:right w:w="0" w:type="dxa"/>
          </w:tblCellMar>
        </w:tblPrEx>
        <w:trPr>
          <w:trHeight w:val="906"/>
        </w:trPr>
        <w:tc>
          <w:tcPr>
            <w:tcW w:w="2687" w:type="dxa"/>
          </w:tcPr>
          <w:p w14:paraId="5E801BBF" w14:textId="77777777" w:rsidR="004B4609" w:rsidRPr="00FB2C4E" w:rsidRDefault="004B4609" w:rsidP="00800F9D">
            <w:pPr>
              <w:pStyle w:val="BodyText"/>
            </w:pPr>
            <w:r w:rsidRPr="00FB2C4E">
              <w:t>Cohort-based qualification completion</w:t>
            </w:r>
          </w:p>
        </w:tc>
        <w:tc>
          <w:tcPr>
            <w:tcW w:w="6806" w:type="dxa"/>
          </w:tcPr>
          <w:p w14:paraId="73B54A79" w14:textId="77777777" w:rsidR="004B4609" w:rsidRPr="00FB2C4E" w:rsidRDefault="004B4609" w:rsidP="00800F9D">
            <w:pPr>
              <w:pStyle w:val="BodyText"/>
            </w:pPr>
            <w:r w:rsidRPr="00FB2C4E">
              <w:t>The proportion of students in a starting cohort at a particular NQF Level who go on to complete a qualification at the same level after a given amount of time.</w:t>
            </w:r>
          </w:p>
          <w:p w14:paraId="0CF6E6DE" w14:textId="77777777" w:rsidR="004B4609" w:rsidRPr="00FB2C4E" w:rsidRDefault="004B4609" w:rsidP="00800F9D">
            <w:pPr>
              <w:pStyle w:val="BodyText"/>
            </w:pPr>
          </w:p>
        </w:tc>
      </w:tr>
      <w:tr w:rsidR="004B4609" w:rsidRPr="00FB2C4E" w14:paraId="45118513" w14:textId="77777777" w:rsidTr="00800F9D">
        <w:tblPrEx>
          <w:tblCellMar>
            <w:top w:w="0" w:type="dxa"/>
            <w:left w:w="0" w:type="dxa"/>
            <w:right w:w="0" w:type="dxa"/>
          </w:tblCellMar>
        </w:tblPrEx>
        <w:trPr>
          <w:trHeight w:val="1769"/>
        </w:trPr>
        <w:tc>
          <w:tcPr>
            <w:tcW w:w="2687" w:type="dxa"/>
          </w:tcPr>
          <w:p w14:paraId="5BE45AD1" w14:textId="77777777" w:rsidR="004B4609" w:rsidRPr="00FB2C4E" w:rsidRDefault="004B4609" w:rsidP="00800F9D">
            <w:pPr>
              <w:pStyle w:val="BodyText"/>
            </w:pPr>
            <w:r w:rsidRPr="00FB2C4E">
              <w:t xml:space="preserve">Successful Course Completion Rate </w:t>
            </w:r>
          </w:p>
        </w:tc>
        <w:tc>
          <w:tcPr>
            <w:tcW w:w="6806" w:type="dxa"/>
          </w:tcPr>
          <w:p w14:paraId="627CD944" w14:textId="77777777" w:rsidR="004B4609" w:rsidRPr="00FB2C4E" w:rsidRDefault="004B4609" w:rsidP="00800F9D">
            <w:pPr>
              <w:pStyle w:val="BodyText"/>
            </w:pPr>
            <w:r w:rsidRPr="00FB2C4E">
              <w:t>Successful Course Completion Rate</w:t>
            </w:r>
          </w:p>
          <w:p w14:paraId="6AA801A2" w14:textId="77777777" w:rsidR="004B4609" w:rsidRPr="00FB2C4E" w:rsidRDefault="004B4609" w:rsidP="00800F9D">
            <w:pPr>
              <w:pStyle w:val="BodyText"/>
            </w:pPr>
            <w:r w:rsidRPr="00FB2C4E">
              <w:t xml:space="preserve">The proportion of successful course completion EFTS from the total EFTS delivered for the course for a given year (or a period of time). </w:t>
            </w:r>
          </w:p>
          <w:p w14:paraId="4A538E53" w14:textId="77777777" w:rsidR="004B4609" w:rsidRPr="00FB2C4E" w:rsidRDefault="004B4609" w:rsidP="00800F9D">
            <w:pPr>
              <w:pStyle w:val="BodyText"/>
            </w:pPr>
            <w:r w:rsidRPr="00FB2C4E">
              <w:br/>
              <w:t>Student is successful and get a “Pass” grade when he or she has met all the Learning outcomes as set out in the approved course descriptor</w:t>
            </w:r>
          </w:p>
          <w:p w14:paraId="0287E444" w14:textId="77777777" w:rsidR="004B4609" w:rsidRPr="00FB2C4E" w:rsidRDefault="004B4609" w:rsidP="00800F9D">
            <w:pPr>
              <w:pStyle w:val="BodyText"/>
            </w:pPr>
            <w:r w:rsidRPr="00FB2C4E">
              <w:br/>
              <w:t xml:space="preserve">This measure is calculated for ‘Formal’ qualifications, and excludes “pass” grades received from APL, Cross Credit or Credit Transfer applications. It also excludes PBRF funded research based courses. </w:t>
            </w:r>
          </w:p>
          <w:p w14:paraId="324CBD93" w14:textId="77777777" w:rsidR="004B4609" w:rsidRPr="00FB2C4E" w:rsidRDefault="004B4609" w:rsidP="00800F9D">
            <w:pPr>
              <w:pStyle w:val="BodyText"/>
            </w:pPr>
          </w:p>
        </w:tc>
      </w:tr>
      <w:tr w:rsidR="004B4609" w:rsidRPr="00FB2C4E" w14:paraId="742F3F1A" w14:textId="77777777" w:rsidTr="00800F9D">
        <w:tblPrEx>
          <w:tblCellMar>
            <w:top w:w="0" w:type="dxa"/>
            <w:left w:w="0" w:type="dxa"/>
            <w:right w:w="0" w:type="dxa"/>
          </w:tblCellMar>
        </w:tblPrEx>
        <w:trPr>
          <w:trHeight w:val="302"/>
        </w:trPr>
        <w:tc>
          <w:tcPr>
            <w:tcW w:w="2687" w:type="dxa"/>
          </w:tcPr>
          <w:p w14:paraId="4C2AFE1F" w14:textId="77777777" w:rsidR="004B4609" w:rsidRPr="00FB2C4E" w:rsidRDefault="004B4609" w:rsidP="00800F9D">
            <w:pPr>
              <w:pStyle w:val="BodyText"/>
            </w:pPr>
            <w:r w:rsidRPr="00FB2C4E">
              <w:t>Student progression rate</w:t>
            </w:r>
          </w:p>
        </w:tc>
        <w:tc>
          <w:tcPr>
            <w:tcW w:w="6806" w:type="dxa"/>
          </w:tcPr>
          <w:p w14:paraId="2863CB65" w14:textId="77777777" w:rsidR="004B4609" w:rsidRPr="00FB2C4E" w:rsidRDefault="004B4609" w:rsidP="00800F9D">
            <w:pPr>
              <w:pStyle w:val="BodyText"/>
            </w:pPr>
            <w:r w:rsidRPr="00FB2C4E">
              <w:t xml:space="preserve">The proportion of students completing a qualification who then </w:t>
            </w:r>
            <w:proofErr w:type="spellStart"/>
            <w:r w:rsidRPr="00FB2C4E">
              <w:t>enrol</w:t>
            </w:r>
            <w:proofErr w:type="spellEnd"/>
            <w:r w:rsidRPr="00FB2C4E">
              <w:t xml:space="preserve">, within a given time period, in a higher level qualification. The enrolment in a higher level qualification can be at any TEO </w:t>
            </w:r>
          </w:p>
          <w:p w14:paraId="177EBD42" w14:textId="77777777" w:rsidR="004B4609" w:rsidRPr="00FB2C4E" w:rsidRDefault="004B4609" w:rsidP="00800F9D">
            <w:pPr>
              <w:pStyle w:val="BodyText"/>
            </w:pPr>
          </w:p>
        </w:tc>
      </w:tr>
    </w:tbl>
    <w:p w14:paraId="5394B624" w14:textId="77777777" w:rsidR="004B4609" w:rsidRPr="00FB2C4E" w:rsidRDefault="004B4609" w:rsidP="004B4609">
      <w:pPr>
        <w:pStyle w:val="BodyText"/>
      </w:pPr>
    </w:p>
    <w:tbl>
      <w:tblPr>
        <w:tblStyle w:val="TableGrid"/>
        <w:tblW w:w="9493" w:type="dxa"/>
        <w:tblInd w:w="6" w:type="dxa"/>
        <w:tblCellMar>
          <w:top w:w="52" w:type="dxa"/>
          <w:left w:w="107" w:type="dxa"/>
          <w:right w:w="332" w:type="dxa"/>
        </w:tblCellMar>
        <w:tblLook w:val="04A0" w:firstRow="1" w:lastRow="0" w:firstColumn="1" w:lastColumn="0" w:noHBand="0" w:noVBand="1"/>
      </w:tblPr>
      <w:tblGrid>
        <w:gridCol w:w="2687"/>
        <w:gridCol w:w="6806"/>
      </w:tblGrid>
      <w:tr w:rsidR="004B4609" w:rsidRPr="00FB2C4E" w14:paraId="2F0774C3" w14:textId="77777777" w:rsidTr="00800F9D">
        <w:trPr>
          <w:trHeight w:val="304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59EC" w14:textId="77777777" w:rsidR="004B4609" w:rsidRPr="00FB2C4E" w:rsidRDefault="004B4609" w:rsidP="00800F9D">
            <w:pPr>
              <w:pStyle w:val="BodyText"/>
            </w:pPr>
            <w:r w:rsidRPr="00FB2C4E">
              <w:t xml:space="preserve">Academic Programme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7A37" w14:textId="77777777" w:rsidR="004B4609" w:rsidRPr="00FB2C4E" w:rsidRDefault="004B4609" w:rsidP="00800F9D">
            <w:pPr>
              <w:pStyle w:val="BodyText"/>
            </w:pPr>
            <w:r w:rsidRPr="00FB2C4E">
              <w:t xml:space="preserve">A programme of study that students intend to complete in accordance with the regulations for the programme they have enrolled in to.  e.g. Bachelor of Architecture </w:t>
            </w:r>
          </w:p>
        </w:tc>
      </w:tr>
      <w:tr w:rsidR="004B4609" w:rsidRPr="00FB2C4E" w14:paraId="4D79742D" w14:textId="77777777" w:rsidTr="00800F9D">
        <w:trPr>
          <w:trHeight w:val="1769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1C14" w14:textId="77777777" w:rsidR="004B4609" w:rsidRPr="00FB2C4E" w:rsidRDefault="004B4609" w:rsidP="00800F9D">
            <w:pPr>
              <w:pStyle w:val="BodyText"/>
            </w:pPr>
            <w:r w:rsidRPr="00FB2C4E">
              <w:t xml:space="preserve">CR%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10CB" w14:textId="77777777" w:rsidR="004B4609" w:rsidRPr="00FB2C4E" w:rsidRDefault="004B4609" w:rsidP="00800F9D">
            <w:pPr>
              <w:pStyle w:val="BodyText"/>
            </w:pPr>
            <w:r w:rsidRPr="00FB2C4E">
              <w:t xml:space="preserve">Course Retention </w:t>
            </w:r>
          </w:p>
          <w:p w14:paraId="7D9A1A4D" w14:textId="77777777" w:rsidR="004B4609" w:rsidRPr="00FB2C4E" w:rsidRDefault="004B4609" w:rsidP="00800F9D">
            <w:pPr>
              <w:pStyle w:val="BodyText"/>
            </w:pPr>
            <w:r w:rsidRPr="00FB2C4E">
              <w:rPr>
                <w:u w:val="single" w:color="000000"/>
              </w:rPr>
              <w:t>Internal Unitec measure</w:t>
            </w:r>
            <w:r w:rsidRPr="00FB2C4E">
              <w:t xml:space="preserve"> </w:t>
            </w:r>
          </w:p>
          <w:p w14:paraId="1BF00505" w14:textId="77777777" w:rsidR="004B4609" w:rsidRPr="00FB2C4E" w:rsidRDefault="004B4609" w:rsidP="00800F9D">
            <w:pPr>
              <w:pStyle w:val="BodyText"/>
            </w:pPr>
            <w:r w:rsidRPr="00FB2C4E">
              <w:t xml:space="preserve">The proportion of course completions with pass or a fail grade from the total EFTS delivered for a course or a programme for a given year (or a period of time). </w:t>
            </w:r>
            <w:r w:rsidRPr="00FB2C4E">
              <w:br/>
            </w:r>
          </w:p>
          <w:p w14:paraId="61FD4CD5" w14:textId="77777777" w:rsidR="004B4609" w:rsidRPr="00FB2C4E" w:rsidRDefault="004B4609" w:rsidP="00800F9D">
            <w:pPr>
              <w:pStyle w:val="BodyText"/>
            </w:pPr>
            <w:r w:rsidRPr="00FB2C4E">
              <w:t xml:space="preserve">This measure is calculated for ‘Formal’ qualifications, and excludes “pass” grades received resulting from APL, Cross Credit or Credit Transfers. It also excludes PBRF funded research based courses. </w:t>
            </w:r>
          </w:p>
        </w:tc>
      </w:tr>
      <w:tr w:rsidR="004B4609" w:rsidRPr="00FB2C4E" w14:paraId="311324FF" w14:textId="77777777" w:rsidTr="00800F9D">
        <w:trPr>
          <w:trHeight w:val="1071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B24C" w14:textId="77777777" w:rsidR="004B4609" w:rsidRPr="00FB2C4E" w:rsidRDefault="004B4609" w:rsidP="00800F9D">
            <w:pPr>
              <w:pStyle w:val="BodyText"/>
            </w:pPr>
            <w:r w:rsidRPr="00FB2C4E">
              <w:t xml:space="preserve">Enrolment Count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E02E" w14:textId="77777777" w:rsidR="004B4609" w:rsidRPr="00FB2C4E" w:rsidRDefault="004B4609" w:rsidP="00800F9D">
            <w:pPr>
              <w:pStyle w:val="BodyText"/>
            </w:pPr>
            <w:r w:rsidRPr="00FB2C4E">
              <w:t xml:space="preserve">Count of individual enrolment number in a course or a programme. e.g. if a student is enrolled in 4 courses/papers they will be counted 4 times </w:t>
            </w:r>
          </w:p>
        </w:tc>
      </w:tr>
      <w:tr w:rsidR="004B4609" w:rsidRPr="00FB2C4E" w14:paraId="2144EDCB" w14:textId="77777777" w:rsidTr="00800F9D">
        <w:trPr>
          <w:trHeight w:val="508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0DC6" w14:textId="77777777" w:rsidR="004B4609" w:rsidRPr="00FB2C4E" w:rsidRDefault="004B4609" w:rsidP="00800F9D">
            <w:pPr>
              <w:pStyle w:val="BodyText"/>
            </w:pPr>
            <w:r w:rsidRPr="00FB2C4E">
              <w:t xml:space="preserve">SAC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352E" w14:textId="77777777" w:rsidR="004B4609" w:rsidRPr="00FB2C4E" w:rsidRDefault="004B4609" w:rsidP="00800F9D">
            <w:pPr>
              <w:pStyle w:val="BodyText"/>
            </w:pPr>
            <w:r w:rsidRPr="00FB2C4E">
              <w:t xml:space="preserve">Student Achievement Component funding.   </w:t>
            </w:r>
          </w:p>
        </w:tc>
      </w:tr>
      <w:tr w:rsidR="004B4609" w:rsidRPr="00FB2C4E" w14:paraId="13BD214D" w14:textId="77777777" w:rsidTr="00800F9D">
        <w:trPr>
          <w:trHeight w:val="794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548B" w14:textId="77777777" w:rsidR="004B4609" w:rsidRPr="00FB2C4E" w:rsidRDefault="004B4609" w:rsidP="00800F9D">
            <w:pPr>
              <w:pStyle w:val="BodyText"/>
            </w:pPr>
            <w:r w:rsidRPr="00FB2C4E">
              <w:lastRenderedPageBreak/>
              <w:t>SAC EFTS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437F" w14:textId="77777777" w:rsidR="004B4609" w:rsidRPr="00FB2C4E" w:rsidRDefault="004B4609" w:rsidP="00800F9D">
            <w:pPr>
              <w:pStyle w:val="BodyText"/>
            </w:pPr>
            <w:r w:rsidRPr="00FB2C4E">
              <w:t>Total number of equivalent full-time domestic student number who receives government funding.</w:t>
            </w:r>
          </w:p>
        </w:tc>
      </w:tr>
      <w:tr w:rsidR="004B4609" w:rsidRPr="00FB2C4E" w14:paraId="3D729032" w14:textId="77777777" w:rsidTr="00800F9D">
        <w:trPr>
          <w:trHeight w:val="548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495C" w14:textId="77777777" w:rsidR="004B4609" w:rsidRPr="00FB2C4E" w:rsidRDefault="004B4609" w:rsidP="00800F9D">
            <w:pPr>
              <w:pStyle w:val="BodyText"/>
            </w:pPr>
            <w:r w:rsidRPr="00FB2C4E">
              <w:t xml:space="preserve">SAC </w:t>
            </w:r>
            <w:hyperlink r:id="rId4">
              <w:r w:rsidRPr="00FB2C4E">
                <w:t xml:space="preserve">Māori </w:t>
              </w:r>
            </w:hyperlink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25B6" w14:textId="77777777" w:rsidR="004B4609" w:rsidRPr="00FB2C4E" w:rsidRDefault="004B4609" w:rsidP="00800F9D">
            <w:pPr>
              <w:pStyle w:val="BodyText"/>
            </w:pPr>
            <w:r w:rsidRPr="00FB2C4E">
              <w:t xml:space="preserve">Students who identify as </w:t>
            </w:r>
            <w:r>
              <w:t>Māori</w:t>
            </w:r>
            <w:r w:rsidRPr="00FB2C4E">
              <w:t xml:space="preserve"> as their primary, secondary or third ethnicity who are SAC funded.</w:t>
            </w:r>
          </w:p>
          <w:p w14:paraId="293DA869" w14:textId="77777777" w:rsidR="004B4609" w:rsidRPr="00FB2C4E" w:rsidRDefault="004B4609" w:rsidP="00800F9D">
            <w:pPr>
              <w:pStyle w:val="BodyText"/>
            </w:pPr>
            <w:r w:rsidRPr="00FB2C4E">
              <w:t>Note: Māori and Pacific and Under 25 are not mutually exclusive</w:t>
            </w:r>
            <w:r w:rsidRPr="00FB2C4E">
              <w:rPr>
                <w:rFonts w:ascii="Arial" w:eastAsia="Arial" w:hAnsi="Arial" w:cs="Arial"/>
              </w:rPr>
              <w:t xml:space="preserve"> </w:t>
            </w:r>
          </w:p>
        </w:tc>
      </w:tr>
      <w:tr w:rsidR="004B4609" w:rsidRPr="00FB2C4E" w14:paraId="025FC169" w14:textId="77777777" w:rsidTr="00800F9D">
        <w:trPr>
          <w:trHeight w:val="547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2B603" w14:textId="77777777" w:rsidR="004B4609" w:rsidRPr="00FB2C4E" w:rsidRDefault="004B4609" w:rsidP="00800F9D">
            <w:pPr>
              <w:pStyle w:val="BodyText"/>
            </w:pPr>
            <w:r w:rsidRPr="00FB2C4E">
              <w:t xml:space="preserve">SAC Pacific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87DA" w14:textId="77777777" w:rsidR="004B4609" w:rsidRPr="00FB2C4E" w:rsidRDefault="004B4609" w:rsidP="00800F9D">
            <w:pPr>
              <w:pStyle w:val="BodyText"/>
            </w:pPr>
            <w:r w:rsidRPr="00FB2C4E">
              <w:t>Students who identify as Pacific as their primary, secondary or third ethnicity who are SAC funded.</w:t>
            </w:r>
          </w:p>
          <w:p w14:paraId="3CB18C4A" w14:textId="77777777" w:rsidR="004B4609" w:rsidRPr="00FB2C4E" w:rsidRDefault="004B4609" w:rsidP="00800F9D">
            <w:pPr>
              <w:pStyle w:val="BodyText"/>
            </w:pPr>
            <w:r w:rsidRPr="00FB2C4E">
              <w:t xml:space="preserve">Note: Māori and Pacific and Under 25 are not mutually exclusive </w:t>
            </w:r>
          </w:p>
        </w:tc>
      </w:tr>
      <w:tr w:rsidR="004B4609" w:rsidRPr="00FB2C4E" w14:paraId="021C5051" w14:textId="77777777" w:rsidTr="00800F9D">
        <w:trPr>
          <w:trHeight w:val="547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9A69" w14:textId="77777777" w:rsidR="004B4609" w:rsidRPr="00FB2C4E" w:rsidRDefault="004B4609" w:rsidP="00800F9D">
            <w:pPr>
              <w:pStyle w:val="BodyText"/>
            </w:pPr>
            <w:r w:rsidRPr="00FB2C4E">
              <w:t xml:space="preserve">SAC Under 25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69A4" w14:textId="77777777" w:rsidR="004B4609" w:rsidRPr="00FB2C4E" w:rsidRDefault="004B4609" w:rsidP="00800F9D">
            <w:pPr>
              <w:pStyle w:val="BodyText"/>
            </w:pPr>
            <w:r w:rsidRPr="00FB2C4E">
              <w:t xml:space="preserve">Students who are under 25 year of age </w:t>
            </w:r>
          </w:p>
          <w:p w14:paraId="30748B9A" w14:textId="77777777" w:rsidR="004B4609" w:rsidRPr="00FB2C4E" w:rsidRDefault="004B4609" w:rsidP="00800F9D">
            <w:pPr>
              <w:pStyle w:val="BodyText"/>
            </w:pPr>
            <w:r w:rsidRPr="00FB2C4E">
              <w:t xml:space="preserve">Note: Māori and Pacific and Under 25 are not mutually exclusive </w:t>
            </w:r>
          </w:p>
        </w:tc>
      </w:tr>
      <w:tr w:rsidR="004B4609" w:rsidRPr="00FB2C4E" w14:paraId="461C6D7A" w14:textId="77777777" w:rsidTr="00800F9D">
        <w:trPr>
          <w:trHeight w:val="302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DDD7" w14:textId="77777777" w:rsidR="004B4609" w:rsidRPr="00FB2C4E" w:rsidRDefault="004B4609" w:rsidP="00800F9D">
            <w:pPr>
              <w:pStyle w:val="BodyText"/>
            </w:pPr>
            <w:r w:rsidRPr="00FB2C4E">
              <w:t xml:space="preserve">Student Headcount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2D3D" w14:textId="77777777" w:rsidR="004B4609" w:rsidRPr="00FB2C4E" w:rsidRDefault="004B4609" w:rsidP="00800F9D">
            <w:pPr>
              <w:pStyle w:val="BodyText"/>
            </w:pPr>
            <w:r w:rsidRPr="00FB2C4E">
              <w:t xml:space="preserve">Count of individual student number in a course or a programme regardless of number of courses each student has enrolled in to. </w:t>
            </w:r>
          </w:p>
        </w:tc>
      </w:tr>
      <w:tr w:rsidR="004B4609" w:rsidRPr="00FB2C4E" w14:paraId="68F4B865" w14:textId="77777777" w:rsidTr="00800F9D">
        <w:trPr>
          <w:trHeight w:val="302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C5E0" w14:textId="77777777" w:rsidR="004B4609" w:rsidRPr="00FB2C4E" w:rsidRDefault="004B4609" w:rsidP="00800F9D">
            <w:pPr>
              <w:pStyle w:val="BodyText"/>
            </w:pPr>
            <w:r w:rsidRPr="00FB2C4E">
              <w:t xml:space="preserve">Total EFTS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F312" w14:textId="77777777" w:rsidR="004B4609" w:rsidRPr="00FB2C4E" w:rsidRDefault="004B4609" w:rsidP="00800F9D">
            <w:pPr>
              <w:pStyle w:val="BodyText"/>
            </w:pPr>
            <w:r w:rsidRPr="00FB2C4E">
              <w:t>Total number of equivalent full-time students in a programme or a course regardless of the type of student (domestic, international, ITO etc.)</w:t>
            </w:r>
          </w:p>
          <w:p w14:paraId="6B20EB6E" w14:textId="77777777" w:rsidR="004B4609" w:rsidRPr="00FB2C4E" w:rsidRDefault="004B4609" w:rsidP="00800F9D">
            <w:pPr>
              <w:pStyle w:val="BodyText"/>
            </w:pPr>
          </w:p>
        </w:tc>
      </w:tr>
    </w:tbl>
    <w:p w14:paraId="0F52E804" w14:textId="77777777" w:rsidR="004B4609" w:rsidRDefault="004B4609" w:rsidP="004B4609">
      <w:pPr>
        <w:pStyle w:val="BodyText"/>
      </w:pPr>
    </w:p>
    <w:p w14:paraId="7A9B9573" w14:textId="77777777" w:rsidR="001869C6" w:rsidRPr="004B4609" w:rsidRDefault="001869C6">
      <w:pPr>
        <w:rPr>
          <w:sz w:val="28"/>
          <w:szCs w:val="28"/>
        </w:rPr>
      </w:pPr>
    </w:p>
    <w:sectPr w:rsidR="001869C6" w:rsidRPr="004B46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09"/>
    <w:rsid w:val="00152947"/>
    <w:rsid w:val="001869C6"/>
    <w:rsid w:val="004B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97B10"/>
  <w15:chartTrackingRefBased/>
  <w15:docId w15:val="{6E25DA02-0F4F-4B9B-88D9-D98B8F50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color w:val="000000" w:themeColor="text1"/>
        <w:sz w:val="24"/>
        <w:szCs w:val="24"/>
        <w:u w:val="words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609"/>
    <w:pPr>
      <w:spacing w:after="0" w:line="240" w:lineRule="auto"/>
    </w:pPr>
    <w:rPr>
      <w:rFonts w:cstheme="minorBidi"/>
      <w:color w:val="auto"/>
      <w:sz w:val="22"/>
      <w:szCs w:val="22"/>
      <w:u w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46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609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u w:val="none"/>
    </w:rPr>
  </w:style>
  <w:style w:type="paragraph" w:styleId="BodyText">
    <w:name w:val="Body Text"/>
    <w:basedOn w:val="Normal"/>
    <w:link w:val="BodyTextChar"/>
    <w:uiPriority w:val="1"/>
    <w:qFormat/>
    <w:rsid w:val="004B4609"/>
    <w:pPr>
      <w:widowControl w:val="0"/>
      <w:autoSpaceDE w:val="0"/>
      <w:autoSpaceDN w:val="0"/>
      <w:spacing w:line="259" w:lineRule="auto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B4609"/>
    <w:rPr>
      <w:rFonts w:ascii="Calibri" w:eastAsia="Calibri" w:hAnsi="Calibri" w:cs="Calibri"/>
      <w:color w:val="auto"/>
      <w:sz w:val="22"/>
      <w:szCs w:val="22"/>
      <w:u w:val="none"/>
      <w:lang w:val="en-US"/>
    </w:rPr>
  </w:style>
  <w:style w:type="table" w:customStyle="1" w:styleId="TableGrid">
    <w:name w:val="TableGrid"/>
    <w:rsid w:val="004B4609"/>
    <w:pPr>
      <w:spacing w:after="0" w:line="240" w:lineRule="auto"/>
    </w:pPr>
    <w:rPr>
      <w:rFonts w:eastAsiaTheme="minorEastAsia" w:cstheme="minorBidi"/>
      <w:color w:val="auto"/>
      <w:sz w:val="22"/>
      <w:szCs w:val="22"/>
      <w:u w:val="none"/>
      <w:lang w:eastAsia="en-N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ogle.com/url?sa=t&amp;rct=j&amp;q=&amp;esrc=s&amp;source=web&amp;cd=1&amp;cad=rja&amp;uact=8&amp;ved=0ahUKEwjyvvDnkYLcAhXDnJQKHcroAbcQFggnMAA&amp;url=http%3A%2F%2Fmaoridictionary.co.nz%2F&amp;usg=AOvVaw1YUsQBv2xz4OJMUOoSMH5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Dewerse</dc:creator>
  <cp:keywords/>
  <dc:description/>
  <cp:lastModifiedBy>Luan Rose</cp:lastModifiedBy>
  <cp:revision>2</cp:revision>
  <dcterms:created xsi:type="dcterms:W3CDTF">2019-01-20T19:45:00Z</dcterms:created>
  <dcterms:modified xsi:type="dcterms:W3CDTF">2019-01-20T19:45:00Z</dcterms:modified>
</cp:coreProperties>
</file>